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Farag Kameel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AKARI THERAPEUTICS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EAST JACKSON STREET, SUITE 3300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Akari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0"/>
        <w:gridCol w:w="903"/>
        <w:gridCol w:w="772"/>
        <w:gridCol w:w="600"/>
        <w:gridCol w:w="347"/>
        <w:gridCol w:w="883"/>
        <w:gridCol w:w="449"/>
        <w:gridCol w:w="666"/>
        <w:gridCol w:w="1154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representing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21,581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represent restricted stock units ("RSUs"), with each such RSU representing the right to receive 80,000 ordinary shares with a par value of $0.000000005 per ordinary share. The RSUs will vest in full on August 16,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Abizer Gaslightwala,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3620" TargetMode="External"/><Relationship Id="rId5" Type="http://schemas.openxmlformats.org/officeDocument/2006/relationships/hyperlink" Target="http://www.sec.gov/cgi-bin/browse-edgar?action=getcompany&amp;CIK=00015411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3355</Characters>
  <CharactersWithSpaces>3901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