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245"/>
        <w:gridCol w:w="9935"/>
      </w:tblGrid>
      <w:tr>
        <w:trPr/>
        <w:tc>
          <w:tcPr>
            <w:tcW w:w="245" w:type="dxa"/>
            <w:tcBorders/>
            <w:vAlign w:val="center"/>
          </w:tcPr>
          <w:p>
            <w:pPr>
              <w:pStyle w:val="TableContents"/>
              <w:bidi w:val="0"/>
              <w:spacing w:before="0" w:after="283"/>
              <w:jc w:val="left"/>
              <w:rPr>
                <w:caps w:val="false"/>
                <w:smallCaps w:val="false"/>
              </w:rPr>
            </w:pPr>
            <w:bookmarkStart w:id="3" w:name="xdx_903_edei--DocumentQuarterlyReport_c2"/>
            <w:bookmarkEnd w:id="3"/>
            <w:r>
              <w:rPr>
                <w:caps w:val="false"/>
                <w:smallCaps w:val="false"/>
              </w:rPr>
              <w:t>☒</w:t>
            </w:r>
          </w:p>
        </w:tc>
        <w:tc>
          <w:tcPr>
            <w:tcW w:w="9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QUARTERLY REPORT PURSUANT TO SECTION 13 OR 15(d) OF THE SECURITIES EXCHANGE ACT OF 1934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7_edei--DocumentPeriodEndDate_c202"/>
      <w:bookmarkEnd w:id="4"/>
      <w:r>
        <w:rPr>
          <w:rFonts w:ascii="Times New Roman;Times;Serif" w:hAnsi="Times New Roman;Times;Serif"/>
          <w:b/>
          <w:i w:val="false"/>
          <w:caps w:val="false"/>
          <w:smallCaps w:val="false"/>
          <w:sz w:val="20"/>
        </w:rPr>
        <w:t xml:space="preserve">June 30, </w:t>
      </w:r>
      <w:bookmarkStart w:id="5" w:name="xdx_903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9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 to 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7_edei--EntityFileNumber_c20260101"/>
      <w:bookmarkEnd w:id="7"/>
      <w:r>
        <w:rPr>
          <w:rFonts w:ascii="Times New Roman;Times;Serif" w:hAnsi="Times New Roman;Times;Serif"/>
          <w:b/>
          <w:i w:val="false"/>
          <w:caps w:val="false"/>
          <w:smallCaps w:val="false"/>
          <w:sz w:val="20"/>
        </w:rPr>
        <w:t>001-36288</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4_edei--EntityRegistrantName_c2026"/>
      <w:bookmarkEnd w:id="8"/>
      <w:r>
        <w:rPr>
          <w:rFonts w:ascii="Times New Roman;Times;Serif" w:hAnsi="Times New Roman;Times;Serif"/>
          <w:b/>
          <w:i w:val="false"/>
          <w:caps w:val="false"/>
          <w:smallCaps w:val="false"/>
          <w:sz w:val="36"/>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290"/>
        <w:gridCol w:w="60"/>
        <w:gridCol w:w="156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1_edei--EntityIncorporationStateCo"/>
            <w:bookmarkEnd w:id="9"/>
            <w:r>
              <w:rPr>
                <w:rFonts w:ascii="Times New Roman;Times;Serif" w:hAnsi="Times New Roman;Times;Serif"/>
                <w:b/>
                <w:i w:val="false"/>
                <w:caps w:val="false"/>
                <w:smallCaps w:val="false"/>
                <w:sz w:val="20"/>
              </w:rPr>
              <w:t>England and Wales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A_edei--EntityTaxIdentificationNum"/>
            <w:bookmarkEnd w:id="10"/>
            <w:r>
              <w:rPr>
                <w:rFonts w:ascii="Times New Roman;Times;Serif" w:hAnsi="Times New Roman;Times;Serif"/>
                <w:b/>
                <w:i w:val="false"/>
                <w:caps w:val="false"/>
                <w:smallCaps w:val="false"/>
                <w:sz w:val="20"/>
              </w:rPr>
              <w:t>98-1034922</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3_edei--EntityAddressAddressLine1_"/>
            <w:bookmarkEnd w:id="11"/>
            <w:r>
              <w:rPr>
                <w:rFonts w:ascii="Times New Roman;Times;Serif" w:hAnsi="Times New Roman;Times;Serif"/>
                <w:b/>
                <w:i w:val="false"/>
                <w:caps w:val="false"/>
                <w:smallCaps w:val="false"/>
                <w:sz w:val="20"/>
              </w:rPr>
              <w:t xml:space="preserve">401 East Jackson Street, </w:t>
            </w:r>
            <w:bookmarkStart w:id="12" w:name="xdx_902_edei--EntityAddressAddressLine2_"/>
            <w:bookmarkEnd w:id="12"/>
            <w:r>
              <w:rPr>
                <w:rFonts w:ascii="Times New Roman;Times;Serif" w:hAnsi="Times New Roman;Times;Serif"/>
                <w:b/>
                <w:i w:val="false"/>
                <w:caps w:val="false"/>
                <w:smallCaps w:val="false"/>
                <w:sz w:val="20"/>
              </w:rPr>
              <w:t>Suite 3300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9_edei--EntityAddressCityOrTown_c2"/>
            <w:bookmarkEnd w:id="13"/>
            <w:r>
              <w:rPr>
                <w:rFonts w:ascii="Times New Roman;Times;Serif" w:hAnsi="Times New Roman;Times;Serif"/>
                <w:b/>
                <w:i w:val="false"/>
                <w:caps w:val="false"/>
                <w:smallCaps w:val="false"/>
                <w:sz w:val="20"/>
              </w:rPr>
              <w:t xml:space="preserve">Tampa, </w:t>
            </w:r>
            <w:bookmarkStart w:id="14" w:name="xdx_904_edei--EntityAddressStateOrProvin"/>
            <w:bookmarkEnd w:id="14"/>
            <w:r>
              <w:rPr>
                <w:rFonts w:ascii="Times New Roman;Times;Serif" w:hAnsi="Times New Roman;Times;Serif"/>
                <w:b/>
                <w:i w:val="false"/>
                <w:caps w:val="false"/>
                <w:smallCaps w:val="false"/>
                <w:sz w:val="20"/>
              </w:rPr>
              <w:t>FL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D_edei--EntityAddressPostalZipCode"/>
            <w:bookmarkEnd w:id="15"/>
            <w:r>
              <w:rPr>
                <w:rFonts w:ascii="Times New Roman;Times;Serif" w:hAnsi="Times New Roman;Times;Serif"/>
                <w:b/>
                <w:i w:val="false"/>
                <w:caps w:val="false"/>
                <w:smallCaps w:val="false"/>
                <w:sz w:val="20"/>
              </w:rPr>
              <w:t>33602</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6" w:name="xdx_903_edei--CityAreaCode_c20260101__20"/>
      <w:bookmarkEnd w:id="16"/>
      <w:r>
        <w:rPr>
          <w:rFonts w:ascii="Times New Roman;Times;Serif" w:hAnsi="Times New Roman;Times;Serif"/>
          <w:b/>
          <w:i w:val="false"/>
          <w:caps w:val="false"/>
          <w:smallCaps w:val="false"/>
          <w:sz w:val="20"/>
        </w:rPr>
        <w:t xml:space="preserve">(929) </w:t>
      </w:r>
      <w:bookmarkStart w:id="17" w:name="xdx_905_edei--LocalPhoneNumber_c20260101"/>
      <w:bookmarkEnd w:id="17"/>
      <w:r>
        <w:rPr>
          <w:rFonts w:ascii="Times New Roman;Times;Serif" w:hAnsi="Times New Roman;Times;Serif"/>
          <w:b/>
          <w:i w:val="false"/>
          <w:caps w:val="false"/>
          <w:smallCaps w:val="false"/>
          <w:sz w:val="20"/>
        </w:rPr>
        <w:t>274-7510</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58"/>
        <w:gridCol w:w="60"/>
        <w:gridCol w:w="1277"/>
        <w:gridCol w:w="60"/>
        <w:gridCol w:w="2650"/>
      </w:tblGrid>
      <w:tr>
        <w:trPr/>
        <w:tc>
          <w:tcPr>
            <w:tcW w:w="615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58" w:type="dxa"/>
            <w:tcBorders>
              <w:bottom w:val="single" w:sz="8" w:space="0" w:color="CCECFF"/>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4_edei--Security12bTitle_c20260101"/>
            <w:bookmarkEnd w:id="18"/>
            <w:r>
              <w:rPr>
                <w:rFonts w:ascii="Times New Roman;Times;Serif" w:hAnsi="Times New Roman;Times;Serif"/>
                <w:b/>
                <w:i w:val="false"/>
                <w:caps w:val="false"/>
                <w:smallCaps w:val="false"/>
                <w:sz w:val="20"/>
              </w:rPr>
              <w:t>American Depositary Shares, each representing 80,000 Ordinary Shares, par value $0.000000005 per share</w:t>
            </w:r>
          </w:p>
        </w:tc>
        <w:tc>
          <w:tcPr>
            <w:tcW w:w="60" w:type="dxa"/>
            <w:tcBorders>
              <w:bottom w:val="single" w:sz="8" w:space="0" w:color="CCECFF"/>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277" w:type="dxa"/>
            <w:tcBorders>
              <w:bottom w:val="single" w:sz="8" w:space="0" w:color="CCECFF"/>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E_edei--TradingSymbol_c20260101__2"/>
            <w:bookmarkEnd w:id="19"/>
            <w:r>
              <w:rPr>
                <w:rFonts w:ascii="Times New Roman;Times;Serif" w:hAnsi="Times New Roman;Times;Serif"/>
                <w:b/>
                <w:i w:val="false"/>
                <w:caps w:val="false"/>
                <w:smallCaps w:val="false"/>
                <w:sz w:val="20"/>
              </w:rPr>
              <w:t>AKTX</w:t>
            </w:r>
          </w:p>
        </w:tc>
        <w:tc>
          <w:tcPr>
            <w:tcW w:w="60" w:type="dxa"/>
            <w:tcBorders>
              <w:bottom w:val="single" w:sz="8" w:space="0" w:color="CCECFF"/>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650" w:type="dxa"/>
            <w:tcBorders>
              <w:bottom w:val="single" w:sz="8" w:space="0" w:color="CCECFF"/>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0" w:name="xdx_901_edei--SecurityExchangeName_c2026"/>
            <w:bookmarkEnd w:id="20"/>
            <w:r>
              <w:rPr>
                <w:rFonts w:ascii="Times New Roman;Times;Serif" w:hAnsi="Times New Roman;Times;Serif"/>
                <w:b/>
                <w:i w:val="false"/>
                <w:caps w:val="false"/>
                <w:smallCaps w:val="false"/>
                <w:sz w:val="20"/>
              </w:rPr>
              <w:t>Nasdaq Capital Market</w:t>
            </w:r>
          </w:p>
        </w:tc>
      </w:tr>
      <w:tr>
        <w:trPr/>
        <w:tc>
          <w:tcPr>
            <w:tcW w:w="6158"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1" w:name="xdx_90A_edei--Security12bTitle_c20260101"/>
            <w:bookmarkEnd w:id="21"/>
            <w:r>
              <w:rPr>
                <w:rFonts w:ascii="Times New Roman;Times;Serif" w:hAnsi="Times New Roman;Times;Serif"/>
                <w:b/>
                <w:i w:val="false"/>
                <w:caps w:val="false"/>
                <w:smallCaps w:val="false"/>
                <w:sz w:val="20"/>
              </w:rPr>
              <w:t>Ordinary Shares, $0.000000005 par value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B_edei--TradingSymbol_c20260101__2"/>
            <w:bookmarkEnd w:id="22"/>
            <w:r>
              <w:rPr>
                <w:rFonts w:ascii="Times New Roman;Times;Serif" w:hAnsi="Times New Roman;Times;Serif"/>
                <w:b w:val="false"/>
                <w:i w:val="false"/>
                <w:caps w:val="false"/>
                <w:smallCaps w:val="false"/>
                <w:sz w:val="20"/>
              </w:rPr>
              <w:t>AKTX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3" w:name="xdx_90D_edei--SecurityExchangeName_c2026"/>
            <w:bookmarkEnd w:id="23"/>
            <w:r>
              <w:rPr>
                <w:rFonts w:ascii="Times New Roman;Times;Serif" w:hAnsi="Times New Roman;Times;Serif"/>
                <w:b/>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Trading, but only in connection with the 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B_edei--EntityCurrentReportingStat"/>
      <w:bookmarkEnd w:id="24"/>
      <w:r>
        <w:rPr>
          <w:rFonts w:ascii="Times New Roman;Times;Serif" w:hAnsi="Times New Roman;Times;Serif"/>
          <w:b w:val="false"/>
          <w:i w:val="false"/>
          <w:smallCaps/>
          <w:sz w:val="20"/>
        </w:rPr>
        <w:t>Yes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smallCaps/>
          <w:sz w:val="20"/>
        </w:rPr>
        <w:t>No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5" w:name="xdx_907_edei--EntityInteractiveDataCurre"/>
      <w:bookmarkEnd w:id="25"/>
      <w:r>
        <w:rPr>
          <w:rFonts w:ascii="Times New Roman;Times;Serif" w:hAnsi="Times New Roman;Times;Serif"/>
          <w:b w:val="false"/>
          <w:i w:val="false"/>
          <w:smallCaps/>
          <w:sz w:val="20"/>
        </w:rPr>
        <w:t>Yes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smallCaps/>
          <w:sz w:val="20"/>
        </w:rPr>
        <w:t>No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 w:name="xdx_908_edei--EntityFilerCategory_c20260"/>
            <w:bookmarkEnd w:id="26"/>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7" w:name="xdx_906_edei--EntitySmallBusiness_c20260"/>
            <w:bookmarkEnd w:id="27"/>
            <w:r>
              <w:rPr>
                <w:caps w:val="false"/>
                <w:smallCaps w:val="false"/>
              </w:rPr>
              <w:t>☒</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8" w:name="xdx_901_edei--EntityEmergingGrowthCompan"/>
            <w:bookmarkEnd w:id="28"/>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9" w:name="xdx_909_edei--EntityShellCompany_dbF_c20"/>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Registrant’s Ordinary Shares outstanding as of August 13, 2026, was </w:t>
      </w:r>
      <w:bookmarkStart w:id="30" w:name="xdx_90C_edei--EntityCommonStockSharesOut"/>
      <w:bookmarkEnd w:id="30"/>
      <w:r>
        <w:rPr>
          <w:rFonts w:ascii="Times New Roman;Times;Serif" w:hAnsi="Times New Roman;Times;Serif"/>
          <w:b w:val="false"/>
          <w:i w:val="false"/>
          <w:caps w:val="false"/>
          <w:smallCaps w:val="false"/>
          <w:sz w:val="20"/>
        </w:rPr>
        <w:t>155,758,529,533.</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755"/>
        <w:gridCol w:w="7280"/>
        <w:gridCol w:w="455"/>
      </w:tblGrid>
      <w:tr>
        <w:trPr/>
        <w:tc>
          <w:tcPr>
            <w:tcW w:w="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tc>
        <w:tc>
          <w:tcPr>
            <w:tcW w:w="7280" w:type="dxa"/>
            <w:tcBorders/>
            <w:shd w:fill="CCEEFF" w:val="clear"/>
            <w:vAlign w:val="center"/>
          </w:tcPr>
          <w:p>
            <w:pPr>
              <w:pStyle w:val="TableContents"/>
              <w:bidi w:val="0"/>
              <w:spacing w:before="0" w:after="283"/>
              <w:jc w:val="left"/>
              <w:rPr/>
            </w:pPr>
            <w:hyperlink w:anchor="ak_001">
              <w:r>
                <w:rPr>
                  <w:rStyle w:val="InternetLink"/>
                  <w:rFonts w:ascii="Times New Roman;Times;Serif" w:hAnsi="Times New Roman;Times;Serif"/>
                  <w:b/>
                  <w:i w:val="false"/>
                  <w:caps w:val="false"/>
                  <w:smallCaps w:val="false"/>
                  <w:sz w:val="20"/>
                </w:rPr>
                <w:t>FINANCIAL INFORMATION</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FFFFFF" w:val="clear"/>
            <w:vAlign w:val="center"/>
          </w:tcPr>
          <w:p>
            <w:pPr>
              <w:pStyle w:val="TableContents"/>
              <w:bidi w:val="0"/>
              <w:spacing w:before="0" w:after="283"/>
              <w:jc w:val="left"/>
              <w:rPr/>
            </w:pPr>
            <w:hyperlink w:anchor="ak_002">
              <w:r>
                <w:rPr>
                  <w:rStyle w:val="InternetLink"/>
                  <w:rFonts w:ascii="Times New Roman;Times;Serif" w:hAnsi="Times New Roman;Times;Serif"/>
                  <w:b w:val="false"/>
                  <w:i w:val="false"/>
                  <w:caps w:val="false"/>
                  <w:smallCaps w:val="false"/>
                  <w:sz w:val="20"/>
                </w:rPr>
                <w:t>Financial Statements (Unaudited)</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k_003">
              <w:r>
                <w:rPr>
                  <w:rStyle w:val="InternetLink"/>
                  <w:rFonts w:ascii="Times New Roman;Times;Serif" w:hAnsi="Times New Roman;Times;Serif"/>
                  <w:b w:val="false"/>
                  <w:i w:val="false"/>
                  <w:caps w:val="false"/>
                  <w:smallCaps w:val="false"/>
                  <w:sz w:val="20"/>
                </w:rPr>
                <w:t>Condensed Consolidated Balance Sheets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ak_004">
              <w:r>
                <w:rPr>
                  <w:rStyle w:val="InternetLink"/>
                  <w:rFonts w:ascii="Times New Roman;Times;Serif" w:hAnsi="Times New Roman;Times;Serif"/>
                  <w:b w:val="false"/>
                  <w:i w:val="false"/>
                  <w:caps w:val="false"/>
                  <w:smallCaps w:val="false"/>
                  <w:sz w:val="20"/>
                </w:rPr>
                <w:t>Condensed Consolidated Statements of Operations and Comprehensive Loss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k_005">
              <w:r>
                <w:rPr>
                  <w:rStyle w:val="InternetLink"/>
                  <w:rFonts w:ascii="Times New Roman;Times;Serif" w:hAnsi="Times New Roman;Times;Serif"/>
                  <w:b w:val="false"/>
                  <w:i w:val="false"/>
                  <w:caps w:val="false"/>
                  <w:smallCaps w:val="false"/>
                  <w:sz w:val="20"/>
                </w:rPr>
                <w:t>Condensed Consolidated Statements of Changes in Shareholders’ Equity</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ak_006">
              <w:r>
                <w:rPr>
                  <w:rStyle w:val="InternetLink"/>
                  <w:rFonts w:ascii="Times New Roman;Times;Serif" w:hAnsi="Times New Roman;Times;Serif"/>
                  <w:b w:val="false"/>
                  <w:i w:val="false"/>
                  <w:caps w:val="false"/>
                  <w:smallCaps w:val="false"/>
                  <w:sz w:val="20"/>
                </w:rPr>
                <w:t>Condensed Consolidated Statements of Cash Flows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k_007">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FFFFFF" w:val="clear"/>
            <w:vAlign w:val="center"/>
          </w:tcPr>
          <w:p>
            <w:pPr>
              <w:pStyle w:val="TableContents"/>
              <w:bidi w:val="0"/>
              <w:spacing w:before="0" w:after="283"/>
              <w:jc w:val="left"/>
              <w:rPr/>
            </w:pPr>
            <w:hyperlink w:anchor="ak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ak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FFFFFF" w:val="clear"/>
            <w:vAlign w:val="center"/>
          </w:tcPr>
          <w:p>
            <w:pPr>
              <w:pStyle w:val="TableContents"/>
              <w:bidi w:val="0"/>
              <w:spacing w:before="0" w:after="283"/>
              <w:jc w:val="left"/>
              <w:rPr/>
            </w:pPr>
            <w:hyperlink w:anchor="ak_010">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tc>
        <w:tc>
          <w:tcPr>
            <w:tcW w:w="7280" w:type="dxa"/>
            <w:tcBorders/>
            <w:shd w:fill="FFFFFF" w:val="clear"/>
            <w:vAlign w:val="center"/>
          </w:tcPr>
          <w:p>
            <w:pPr>
              <w:pStyle w:val="TableContents"/>
              <w:bidi w:val="0"/>
              <w:spacing w:before="0" w:after="283"/>
              <w:jc w:val="left"/>
              <w:rPr/>
            </w:pPr>
            <w:hyperlink w:anchor="ak_011">
              <w:r>
                <w:rPr>
                  <w:rStyle w:val="InternetLink"/>
                  <w:rFonts w:ascii="Times New Roman;Times;Serif" w:hAnsi="Times New Roman;Times;Serif"/>
                  <w:b/>
                  <w:i w:val="false"/>
                  <w:caps w:val="false"/>
                  <w:smallCaps w:val="false"/>
                  <w:sz w:val="20"/>
                </w:rPr>
                <w:t>OTHER INFORMATION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ak_012">
              <w:r>
                <w:rPr>
                  <w:rStyle w:val="InternetLink"/>
                  <w:rFonts w:ascii="Times New Roman;Times;Serif" w:hAnsi="Times New Roman;Times;Serif"/>
                  <w:b w:val="false"/>
                  <w:i w:val="false"/>
                  <w:caps w:val="false"/>
                  <w:smallCaps w:val="false"/>
                  <w:sz w:val="20"/>
                </w:rPr>
                <w:t>Legal Proceedings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FFFFFF" w:val="clear"/>
            <w:vAlign w:val="center"/>
          </w:tcPr>
          <w:p>
            <w:pPr>
              <w:pStyle w:val="TableContents"/>
              <w:bidi w:val="0"/>
              <w:spacing w:before="0" w:after="283"/>
              <w:jc w:val="left"/>
              <w:rPr/>
            </w:pPr>
            <w:hyperlink w:anchor="ak_013">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ak_014">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FFFFFF" w:val="clear"/>
            <w:vAlign w:val="center"/>
          </w:tcPr>
          <w:p>
            <w:pPr>
              <w:pStyle w:val="TableContents"/>
              <w:bidi w:val="0"/>
              <w:spacing w:before="0" w:after="283"/>
              <w:jc w:val="left"/>
              <w:rPr/>
            </w:pPr>
            <w:hyperlink w:anchor="ak_015">
              <w:r>
                <w:rPr>
                  <w:rStyle w:val="InternetLink"/>
                  <w:rFonts w:ascii="Times New Roman;Times;Serif" w:hAnsi="Times New Roman;Times;Serif"/>
                  <w:b w:val="false"/>
                  <w:i w:val="false"/>
                  <w:caps w:val="false"/>
                  <w:smallCaps w:val="false"/>
                  <w:sz w:val="20"/>
                </w:rPr>
                <w:t>Defaults Upon Senior Securities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ak_016">
              <w:r>
                <w:rPr>
                  <w:rStyle w:val="InternetLink"/>
                  <w:rFonts w:ascii="Times New Roman;Times;Serif" w:hAnsi="Times New Roman;Times;Serif"/>
                  <w:b w:val="false"/>
                  <w:i w:val="false"/>
                  <w:caps w:val="false"/>
                  <w:smallCaps w:val="false"/>
                  <w:sz w:val="20"/>
                </w:rPr>
                <w:t>Mine Safety Disclosures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FFFFFF" w:val="clear"/>
            <w:vAlign w:val="center"/>
          </w:tcPr>
          <w:p>
            <w:pPr>
              <w:pStyle w:val="TableContents"/>
              <w:bidi w:val="0"/>
              <w:spacing w:before="0" w:after="283"/>
              <w:jc w:val="left"/>
              <w:rPr/>
            </w:pPr>
            <w:hyperlink w:anchor="ak_017">
              <w:r>
                <w:rPr>
                  <w:rStyle w:val="InternetLink"/>
                  <w:rFonts w:ascii="Times New Roman;Times;Serif" w:hAnsi="Times New Roman;Times;Serif"/>
                  <w:b w:val="false"/>
                  <w:i w:val="false"/>
                  <w:caps w:val="false"/>
                  <w:smallCaps w:val="false"/>
                  <w:sz w:val="20"/>
                </w:rPr>
                <w:t>Other Information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ak_018">
              <w:r>
                <w:rPr>
                  <w:rStyle w:val="InternetLink"/>
                  <w:rFonts w:ascii="Times New Roman;Times;Serif" w:hAnsi="Times New Roman;Times;Serif"/>
                  <w:b w:val="false"/>
                  <w:i w:val="false"/>
                  <w:caps w:val="false"/>
                  <w:smallCaps w:val="false"/>
                  <w:sz w:val="20"/>
                </w:rPr>
                <w:t>Exhibits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k_019">
              <w:r>
                <w:rPr>
                  <w:rStyle w:val="InternetLink"/>
                  <w:rFonts w:ascii="Times New Roman;Times;Serif" w:hAnsi="Times New Roman;Times;Serif"/>
                  <w:b/>
                  <w:i w:val="false"/>
                  <w:caps w:val="false"/>
                  <w:smallCaps w:val="false"/>
                  <w:sz w:val="20"/>
                </w:rPr>
                <w:t>SIGNATURES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or the context requires otherwise, references in this Quarterly Report on Form 10-Q (“Form 10-Q”) to “Akari,” the “company,” the “Company,” “we,” “us,” “our” or similar designations refer to Akari Therapeutics, Plc and its subsidiaries, taken together. All trademarks, service marks, trade names and registered marks used in this report are trademarks, trade names or registered marks of their respective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made in this Form 10-Q concerning the contents of any agreement, contract or other document are summaries of such agreements, contracts or documents and are not complete description of all of their terms. If we filed any of these agreements, contracts or documents as exhibits to this Form 10-Q or to any previous filing with the Securities and Exchange Commission (“SEC”), you may read the document itself for a complete understanding of its terms.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10-Q and the documents we incorporate by reference contain forward-looking statements within the meaning of Section 27A of the Securities Act of 1933, as amended (the “Securities Act”), and Section 21E of the Securities Exchange Act of 1934, as amended (the “Exchange Act”). All statements, other than statements of historical fact, included or incorporated in this report regarding, among other things, our cash resources and projected cash runway, financial position, our strategy, strategic alternatives, future operations, clinical trials (including, without limitation, the anticipated timing enrollment, and results thereof), collaborations, intellectual property, future revenues, projected costs, fundraising and/or financing plans, prospects, developments relating to our competitors and our industry, the timing or likelihood of regulatory actions, filings and approvals for our current and future drug candidates, and the plans and objectives of management are forward-looking statements. The words “believes,” “anticipates,” “estimates,” “plans,” “expects,” “intends,” “may,” “could,” “should,” “potential,” “likely,” “projects,” “intend,” “continue,” “will,” “schedule,” “would,” “aim,” “contemplate,” “estimate,” and similar expressions are intended to identify forward-looking statements, although not all forward-looking statements contain these identifying words. We cannot guarantee that we will actually achieve the plans, intentions, or expectations disclosed in our forward-looking statements and you should not place undue reliance on our forward-looking statements. These forward-looking statements involve known and unknown risks, uncertainties, and other factors, which may be beyond our control, and which may cause the actual results, performance, or achievements of the Company to be materially different from future results, performance, or achievements expressed or implied by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our actual results to differ materially from those indicated or implied by forward-looking statements. These important factors include those set forth under Part I, “Item 1A. Risk Factors” in our Annual Report on Form 10-K for the year ended December 31, 2025 (our “2025 Form 10-K”) and Part II “Item 1A. Risk Factors” of this Form 10-Q and in our other disclosures and filings we have made with the SEC. These factors and the other cautionary statements made in this Form 10-Q and the documents we incorporate by reference should be read as being applicable to all related forward-looking statements whenever they appear in this Form 10-Q and the documents we incorporate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forward-looking statements represent our estimates only as of the date that this Form 10-Q is filed with the SEC and should not be relied upon as representing our estimates as of any subsequent date. All forward-looking statements included in this Form 10-Q are made as of the date hereof and are expressly qualified in their entirety by this cautionary notice. We disclaim any intention or obligation to update or revise any forward-looking statement, whether as a result of new information, future events, or otherwise, except as may be required by law.</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ak_001"/>
      <w:bookmarkEnd w:id="31"/>
      <w:r>
        <w:rPr>
          <w:rFonts w:ascii="Times New Roman;Times;Serif" w:hAnsi="Times New Roman;Times;Serif"/>
          <w:b/>
          <w:i w:val="false"/>
          <w:caps w:val="false"/>
          <w:smallCaps w:val="false"/>
          <w:sz w:val="20"/>
        </w:rPr>
        <w:t>PART I—FINANCIAL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k_002"/>
      <w:bookmarkEnd w:id="32"/>
      <w:r>
        <w:rPr>
          <w:rFonts w:ascii="Times New Roman;Times;Serif" w:hAnsi="Times New Roman;Times;Serif"/>
          <w:b/>
          <w:i w:val="false"/>
          <w:caps w:val="false"/>
          <w:smallCaps w:val="false"/>
          <w:sz w:val="20"/>
        </w:rPr>
        <w:t>Item 1. Financial Statements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k_003"/>
      <w:bookmarkEnd w:id="33"/>
      <w:r>
        <w:rPr>
          <w:rFonts w:ascii="Times New Roman;Times;Serif" w:hAnsi="Times New Roman;Times;Serif"/>
          <w:b/>
          <w:i w:val="false"/>
          <w:caps w:val="false"/>
          <w:smallCaps w:val="false"/>
          <w:sz w:val="20"/>
        </w:rPr>
        <w:t>AKARI THERAPEUTICS, PLC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except share and per share data)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4" w:name="xdx_30B_111_pn3n3_zGUtyKI8kYaj"/>
      <w:bookmarkStart w:id="35" w:name="xdx_30B_111_pn3n3_zGUtyKI8kYaj"/>
      <w:bookmarkEnd w:id="35"/>
    </w:p>
    <w:tbl>
      <w:tblPr>
        <w:tblW w:w="10205" w:type="dxa"/>
        <w:jc w:val="left"/>
        <w:tblInd w:w="0" w:type="dxa"/>
        <w:tblLayout w:type="fixed"/>
        <w:tblCellMar>
          <w:top w:w="0" w:type="dxa"/>
          <w:left w:w="0" w:type="dxa"/>
          <w:bottom w:w="0" w:type="dxa"/>
          <w:right w:w="0" w:type="dxa"/>
        </w:tblCellMar>
      </w:tblPr>
      <w:tblGrid>
        <w:gridCol w:w="7715"/>
        <w:gridCol w:w="60"/>
        <w:gridCol w:w="140"/>
        <w:gridCol w:w="875"/>
        <w:gridCol w:w="95"/>
        <w:gridCol w:w="60"/>
        <w:gridCol w:w="157"/>
        <w:gridCol w:w="991"/>
        <w:gridCol w:w="112"/>
      </w:tblGrid>
      <w:tr>
        <w:trPr/>
        <w:tc>
          <w:tcPr>
            <w:tcW w:w="7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 w:name="xdx_49C_20260630_zoEDCtCVuza5"/>
            <w:bookmarkEnd w:id="36"/>
          </w:p>
        </w:tc>
        <w:tc>
          <w:tcPr>
            <w:tcW w:w="10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 w:name="xdx_49D_20251231_zzdUWtiiOIR1"/>
            <w:bookmarkEnd w:id="37"/>
          </w:p>
        </w:tc>
        <w:tc>
          <w:tcPr>
            <w:tcW w:w="1148"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bookmarkStart w:id="38" w:name="xdx_402_eus-gaap--AssetsAbstract_iB_zuAR"/>
            <w:bookmarkEnd w:id="38"/>
          </w:p>
        </w:tc>
      </w:tr>
      <w:tr>
        <w:trPr/>
        <w:tc>
          <w:tcPr>
            <w:tcW w:w="771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9" w:name="xdx_406_eus-gaap--AssetsCurrentAbstract_"/>
            <w:bookmarkEnd w:id="39"/>
          </w:p>
        </w:tc>
      </w:tr>
      <w:tr>
        <w:trPr/>
        <w:tc>
          <w:tcPr>
            <w:tcW w:w="771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0" w:name="xdx_402_eus-gaap--CashAndCashEquivalents"/>
            <w:bookmarkEnd w:id="40"/>
          </w:p>
        </w:tc>
      </w:tr>
      <w:tr>
        <w:trPr/>
        <w:tc>
          <w:tcPr>
            <w:tcW w:w="771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7,694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r>
              <w:rPr/>
              <w:t>5,203</w:t>
            </w:r>
          </w:p>
        </w:tc>
        <w:tc>
          <w:tcPr>
            <w:tcW w:w="112" w:type="dxa"/>
            <w:tcBorders/>
            <w:shd w:fill="CCEEFF" w:val="clear"/>
            <w:vAlign w:val="center"/>
          </w:tcPr>
          <w:p>
            <w:pPr>
              <w:pStyle w:val="TableContents"/>
              <w:bidi w:val="0"/>
              <w:spacing w:before="0" w:after="283"/>
              <w:jc w:val="left"/>
              <w:rPr/>
            </w:pPr>
            <w:r>
              <w:rPr/>
              <w:t> </w:t>
            </w:r>
            <w:bookmarkStart w:id="41" w:name="xdx_408_eus-gaap--RestrictedCash_i02I_ma"/>
            <w:bookmarkEnd w:id="41"/>
          </w:p>
        </w:tc>
      </w:tr>
      <w:tr>
        <w:trPr/>
        <w:tc>
          <w:tcPr>
            <w:tcW w:w="771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60</w:t>
            </w:r>
          </w:p>
        </w:tc>
        <w:tc>
          <w:tcPr>
            <w:tcW w:w="112" w:type="dxa"/>
            <w:tcBorders/>
            <w:shd w:fill="FFFFFF" w:val="clear"/>
            <w:vAlign w:val="center"/>
          </w:tcPr>
          <w:p>
            <w:pPr>
              <w:pStyle w:val="TableContents"/>
              <w:bidi w:val="0"/>
              <w:spacing w:before="0" w:after="283"/>
              <w:jc w:val="left"/>
              <w:rPr/>
            </w:pPr>
            <w:r>
              <w:rPr/>
              <w:t> </w:t>
            </w:r>
            <w:bookmarkStart w:id="42" w:name="xdx_404_eus-gaap--PrepaidExpenseCurrent_"/>
            <w:bookmarkEnd w:id="42"/>
          </w:p>
        </w:tc>
      </w:tr>
      <w:tr>
        <w:trPr/>
        <w:tc>
          <w:tcPr>
            <w:tcW w:w="7715"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185</w:t>
            </w:r>
          </w:p>
        </w:tc>
        <w:tc>
          <w:tcPr>
            <w:tcW w:w="112" w:type="dxa"/>
            <w:tcBorders/>
            <w:shd w:fill="CCEEFF" w:val="clear"/>
            <w:vAlign w:val="center"/>
          </w:tcPr>
          <w:p>
            <w:pPr>
              <w:pStyle w:val="TableContents"/>
              <w:bidi w:val="0"/>
              <w:spacing w:before="0" w:after="283"/>
              <w:jc w:val="left"/>
              <w:rPr/>
            </w:pPr>
            <w:r>
              <w:rPr/>
              <w:t> </w:t>
            </w:r>
            <w:bookmarkStart w:id="43" w:name="xdx_40B_eus-gaap--OtherAssetsCurrent_i02"/>
            <w:bookmarkEnd w:id="43"/>
          </w:p>
        </w:tc>
      </w:tr>
      <w:tr>
        <w:trPr/>
        <w:tc>
          <w:tcPr>
            <w:tcW w:w="771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bottom w:w="28" w:type="dxa"/>
            </w:tcMar>
            <w:vAlign w:val="center"/>
          </w:tcPr>
          <w:p>
            <w:pPr>
              <w:pStyle w:val="TableContents"/>
              <w:bidi w:val="0"/>
              <w:spacing w:before="0" w:after="283"/>
              <w:jc w:val="right"/>
              <w:rPr/>
            </w:pPr>
            <w:r>
              <w:rPr/>
              <w:t>14</w:t>
            </w:r>
          </w:p>
        </w:tc>
        <w:tc>
          <w:tcPr>
            <w:tcW w:w="112" w:type="dxa"/>
            <w:tcBorders/>
            <w:shd w:fill="FFFFFF" w:val="clear"/>
            <w:vAlign w:val="center"/>
          </w:tcPr>
          <w:p>
            <w:pPr>
              <w:pStyle w:val="TableContents"/>
              <w:bidi w:val="0"/>
              <w:spacing w:before="0" w:after="283"/>
              <w:jc w:val="left"/>
              <w:rPr/>
            </w:pPr>
            <w:r>
              <w:rPr/>
              <w:t> </w:t>
            </w:r>
            <w:bookmarkStart w:id="44" w:name="xdx_402_eus-gaap--AssetsCurrent_i02TI_mt"/>
            <w:bookmarkEnd w:id="44"/>
          </w:p>
        </w:tc>
      </w:tr>
      <w:tr>
        <w:trPr/>
        <w:tc>
          <w:tcPr>
            <w:tcW w:w="771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5,462</w:t>
            </w:r>
          </w:p>
        </w:tc>
        <w:tc>
          <w:tcPr>
            <w:tcW w:w="112" w:type="dxa"/>
            <w:tcBorders/>
            <w:shd w:fill="CCEEFF" w:val="clear"/>
            <w:vAlign w:val="center"/>
          </w:tcPr>
          <w:p>
            <w:pPr>
              <w:pStyle w:val="TableContents"/>
              <w:bidi w:val="0"/>
              <w:spacing w:before="0" w:after="283"/>
              <w:jc w:val="left"/>
              <w:rPr/>
            </w:pPr>
            <w:r>
              <w:rPr/>
              <w:t> </w:t>
            </w:r>
            <w:bookmarkStart w:id="45" w:name="xdx_409_eus-gaap--Goodwill_i01I_maAz2Mv_"/>
            <w:bookmarkEnd w:id="45"/>
          </w:p>
        </w:tc>
      </w:tr>
      <w:tr>
        <w:trPr/>
        <w:tc>
          <w:tcPr>
            <w:tcW w:w="771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8,430</w:t>
            </w:r>
          </w:p>
        </w:tc>
        <w:tc>
          <w:tcPr>
            <w:tcW w:w="112" w:type="dxa"/>
            <w:tcBorders/>
            <w:shd w:fill="FFFFFF" w:val="clear"/>
            <w:vAlign w:val="center"/>
          </w:tcPr>
          <w:p>
            <w:pPr>
              <w:pStyle w:val="TableContents"/>
              <w:bidi w:val="0"/>
              <w:spacing w:before="0" w:after="283"/>
              <w:jc w:val="left"/>
              <w:rPr/>
            </w:pPr>
            <w:r>
              <w:rPr/>
              <w:t> </w:t>
            </w:r>
            <w:bookmarkStart w:id="46" w:name="xdx_40F_eus-gaap--OtherIntangibleAssetsN"/>
            <w:bookmarkEnd w:id="46"/>
          </w:p>
        </w:tc>
      </w:tr>
      <w:tr>
        <w:trPr/>
        <w:tc>
          <w:tcPr>
            <w:tcW w:w="7715" w:type="dxa"/>
            <w:tcBorders/>
            <w:shd w:fill="CCEEFF" w:val="clear"/>
            <w:vAlign w:val="center"/>
          </w:tcPr>
          <w:p>
            <w:pPr>
              <w:pStyle w:val="TableContents"/>
              <w:bidi w:val="0"/>
              <w:spacing w:before="0" w:after="283"/>
              <w:jc w:val="left"/>
              <w:rPr/>
            </w:pPr>
            <w:r>
              <w:rPr/>
              <w:t>Other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30,300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34,000</w:t>
            </w:r>
          </w:p>
        </w:tc>
        <w:tc>
          <w:tcPr>
            <w:tcW w:w="112" w:type="dxa"/>
            <w:tcBorders/>
            <w:shd w:fill="CCEEFF" w:val="clear"/>
            <w:vAlign w:val="center"/>
          </w:tcPr>
          <w:p>
            <w:pPr>
              <w:pStyle w:val="TableContents"/>
              <w:bidi w:val="0"/>
              <w:spacing w:before="0" w:after="283"/>
              <w:jc w:val="left"/>
              <w:rPr/>
            </w:pPr>
            <w:r>
              <w:rPr/>
              <w:t> </w:t>
            </w:r>
            <w:bookmarkStart w:id="47" w:name="xdx_403_eus-gaap--Assets_i01TI_mtAz2Mv_z"/>
            <w:bookmarkEnd w:id="47"/>
          </w:p>
        </w:tc>
      </w:tr>
      <w:tr>
        <w:trPr/>
        <w:tc>
          <w:tcPr>
            <w:tcW w:w="77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38,624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pPr>
            <w:r>
              <w:rPr/>
              <w:t>47,892</w:t>
            </w:r>
          </w:p>
        </w:tc>
        <w:tc>
          <w:tcPr>
            <w:tcW w:w="112"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8" w:name="xdx_407_eus-gaap--LiabilitiesAndStockhol"/>
            <w:bookmarkEnd w:id="48"/>
          </w:p>
        </w:tc>
      </w:tr>
      <w:tr>
        <w:trPr/>
        <w:tc>
          <w:tcPr>
            <w:tcW w:w="7715"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9" w:name="xdx_40E_eus-gaap--LiabilitiesCurrentAbst"/>
            <w:bookmarkEnd w:id="49"/>
          </w:p>
        </w:tc>
      </w:tr>
      <w:tr>
        <w:trPr/>
        <w:tc>
          <w:tcPr>
            <w:tcW w:w="771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0" w:name="xdx_40D_eus-gaap--AccountsPayableCurrent"/>
            <w:bookmarkEnd w:id="50"/>
          </w:p>
        </w:tc>
      </w:tr>
      <w:tr>
        <w:trPr/>
        <w:tc>
          <w:tcPr>
            <w:tcW w:w="771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9,401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991" w:type="dxa"/>
            <w:tcBorders/>
            <w:shd w:fill="FFFFFF" w:val="clear"/>
            <w:vAlign w:val="center"/>
          </w:tcPr>
          <w:p>
            <w:pPr>
              <w:pStyle w:val="TableContents"/>
              <w:bidi w:val="0"/>
              <w:spacing w:before="0" w:after="283"/>
              <w:jc w:val="right"/>
              <w:rPr/>
            </w:pPr>
            <w:r>
              <w:rPr/>
              <w:t>8,770</w:t>
            </w:r>
          </w:p>
        </w:tc>
        <w:tc>
          <w:tcPr>
            <w:tcW w:w="112" w:type="dxa"/>
            <w:tcBorders/>
            <w:shd w:fill="FFFFFF" w:val="clear"/>
            <w:vAlign w:val="center"/>
          </w:tcPr>
          <w:p>
            <w:pPr>
              <w:pStyle w:val="TableContents"/>
              <w:bidi w:val="0"/>
              <w:spacing w:before="0" w:after="283"/>
              <w:jc w:val="left"/>
              <w:rPr/>
            </w:pPr>
            <w:r>
              <w:rPr/>
              <w:t> </w:t>
            </w:r>
            <w:bookmarkStart w:id="51" w:name="xdx_400_eus-gaap--AccruedLiabilitiesCurr"/>
            <w:bookmarkEnd w:id="51"/>
          </w:p>
        </w:tc>
      </w:tr>
      <w:tr>
        <w:trPr/>
        <w:tc>
          <w:tcPr>
            <w:tcW w:w="771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2,342</w:t>
            </w:r>
          </w:p>
        </w:tc>
        <w:tc>
          <w:tcPr>
            <w:tcW w:w="112" w:type="dxa"/>
            <w:tcBorders/>
            <w:shd w:fill="CCEEFF" w:val="clear"/>
            <w:vAlign w:val="center"/>
          </w:tcPr>
          <w:p>
            <w:pPr>
              <w:pStyle w:val="TableContents"/>
              <w:bidi w:val="0"/>
              <w:spacing w:before="0" w:after="283"/>
              <w:jc w:val="left"/>
              <w:rPr/>
            </w:pPr>
            <w:r>
              <w:rPr/>
              <w:t> </w:t>
            </w:r>
            <w:bookmarkStart w:id="52" w:name="xdx_40E_eus-gaap--ConvertibleDebt_i02I_m"/>
            <w:bookmarkEnd w:id="52"/>
          </w:p>
        </w:tc>
      </w:tr>
      <w:tr>
        <w:trPr/>
        <w:tc>
          <w:tcPr>
            <w:tcW w:w="7715" w:type="dxa"/>
            <w:tcBorders/>
            <w:shd w:fill="FFFFFF" w:val="clear"/>
            <w:vAlign w:val="center"/>
          </w:tcPr>
          <w:p>
            <w:pPr>
              <w:pStyle w:val="TableContents"/>
              <w:bidi w:val="0"/>
              <w:spacing w:before="0" w:after="283"/>
              <w:jc w:val="left"/>
              <w:rPr/>
            </w:pPr>
            <w:r>
              <w:rPr/>
              <w:t>Convertible notes,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673</w:t>
            </w:r>
          </w:p>
        </w:tc>
        <w:tc>
          <w:tcPr>
            <w:tcW w:w="112" w:type="dxa"/>
            <w:tcBorders/>
            <w:shd w:fill="FFFFFF" w:val="clear"/>
            <w:vAlign w:val="center"/>
          </w:tcPr>
          <w:p>
            <w:pPr>
              <w:pStyle w:val="TableContents"/>
              <w:bidi w:val="0"/>
              <w:spacing w:before="0" w:after="283"/>
              <w:jc w:val="left"/>
              <w:rPr/>
            </w:pPr>
            <w:r>
              <w:rPr/>
              <w:t> </w:t>
            </w:r>
            <w:bookmarkStart w:id="53" w:name="xdx_402_eus-gaap--NotesPayableCurrent_i0"/>
            <w:bookmarkEnd w:id="53"/>
          </w:p>
        </w:tc>
      </w:tr>
      <w:tr>
        <w:trPr/>
        <w:tc>
          <w:tcPr>
            <w:tcW w:w="7715" w:type="dxa"/>
            <w:tcBorders/>
            <w:shd w:fill="CCEEFF" w:val="clear"/>
            <w:vAlign w:val="center"/>
          </w:tcPr>
          <w:p>
            <w:pPr>
              <w:pStyle w:val="TableContents"/>
              <w:bidi w:val="0"/>
              <w:spacing w:before="0" w:after="283"/>
              <w:jc w:val="left"/>
              <w:rPr/>
            </w:pPr>
            <w:r>
              <w:rPr/>
              <w:t>Notes payable,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81</w:t>
            </w:r>
          </w:p>
        </w:tc>
        <w:tc>
          <w:tcPr>
            <w:tcW w:w="112" w:type="dxa"/>
            <w:tcBorders/>
            <w:shd w:fill="CCEEFF" w:val="clear"/>
            <w:vAlign w:val="center"/>
          </w:tcPr>
          <w:p>
            <w:pPr>
              <w:pStyle w:val="TableContents"/>
              <w:bidi w:val="0"/>
              <w:spacing w:before="0" w:after="283"/>
              <w:jc w:val="left"/>
              <w:rPr/>
            </w:pPr>
            <w:r>
              <w:rPr/>
              <w:t> </w:t>
            </w:r>
            <w:bookmarkStart w:id="54" w:name="xdx_408_ecustom--WarrantLiabilitiesCurre"/>
            <w:bookmarkEnd w:id="54"/>
          </w:p>
        </w:tc>
      </w:tr>
      <w:tr>
        <w:trPr/>
        <w:tc>
          <w:tcPr>
            <w:tcW w:w="7715"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61</w:t>
            </w:r>
          </w:p>
        </w:tc>
        <w:tc>
          <w:tcPr>
            <w:tcW w:w="112" w:type="dxa"/>
            <w:tcBorders/>
            <w:shd w:fill="FFFFFF" w:val="clear"/>
            <w:vAlign w:val="center"/>
          </w:tcPr>
          <w:p>
            <w:pPr>
              <w:pStyle w:val="TableContents"/>
              <w:bidi w:val="0"/>
              <w:spacing w:before="0" w:after="283"/>
              <w:jc w:val="left"/>
              <w:rPr/>
            </w:pPr>
            <w:r>
              <w:rPr/>
              <w:t> </w:t>
            </w:r>
            <w:bookmarkStart w:id="55" w:name="xdx_407_eus-gaap--OtherLiabilitiesCurren"/>
            <w:bookmarkEnd w:id="55"/>
          </w:p>
        </w:tc>
      </w:tr>
      <w:tr>
        <w:trPr/>
        <w:tc>
          <w:tcPr>
            <w:tcW w:w="771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424</w:t>
            </w:r>
          </w:p>
        </w:tc>
        <w:tc>
          <w:tcPr>
            <w:tcW w:w="112" w:type="dxa"/>
            <w:tcBorders/>
            <w:shd w:fill="CCEEFF" w:val="clear"/>
            <w:vAlign w:val="center"/>
          </w:tcPr>
          <w:p>
            <w:pPr>
              <w:pStyle w:val="TableContents"/>
              <w:bidi w:val="0"/>
              <w:spacing w:before="0" w:after="283"/>
              <w:jc w:val="left"/>
              <w:rPr/>
            </w:pPr>
            <w:r>
              <w:rPr/>
              <w:t> </w:t>
            </w:r>
            <w:bookmarkStart w:id="56" w:name="xdx_400_eus-gaap--LiabilitiesCurrent_i02"/>
            <w:bookmarkEnd w:id="56"/>
          </w:p>
        </w:tc>
      </w:tr>
      <w:tr>
        <w:trPr/>
        <w:tc>
          <w:tcPr>
            <w:tcW w:w="771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12,351</w:t>
            </w:r>
          </w:p>
        </w:tc>
        <w:tc>
          <w:tcPr>
            <w:tcW w:w="112" w:type="dxa"/>
            <w:tcBorders/>
            <w:shd w:fill="FFFFFF" w:val="clear"/>
            <w:vAlign w:val="center"/>
          </w:tcPr>
          <w:p>
            <w:pPr>
              <w:pStyle w:val="TableContents"/>
              <w:bidi w:val="0"/>
              <w:spacing w:before="0" w:after="283"/>
              <w:jc w:val="left"/>
              <w:rPr/>
            </w:pPr>
            <w:r>
              <w:rPr/>
              <w:t> </w:t>
            </w:r>
            <w:bookmarkStart w:id="57" w:name="xdx_404_eus-gaap--DerivativeLiabilitiesN"/>
            <w:bookmarkEnd w:id="57"/>
          </w:p>
        </w:tc>
      </w:tr>
      <w:tr>
        <w:trPr/>
        <w:tc>
          <w:tcPr>
            <w:tcW w:w="7715" w:type="dxa"/>
            <w:tcBorders/>
            <w:shd w:fill="CCEEFF" w:val="clear"/>
            <w:vAlign w:val="center"/>
          </w:tcPr>
          <w:p>
            <w:pPr>
              <w:pStyle w:val="TableContents"/>
              <w:bidi w:val="0"/>
              <w:spacing w:before="0" w:after="283"/>
              <w:jc w:val="left"/>
              <w:rPr/>
            </w:pPr>
            <w:r>
              <w:rPr/>
              <w:t>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230</w:t>
            </w:r>
          </w:p>
        </w:tc>
        <w:tc>
          <w:tcPr>
            <w:tcW w:w="112" w:type="dxa"/>
            <w:tcBorders/>
            <w:shd w:fill="CCEEFF" w:val="clear"/>
            <w:vAlign w:val="center"/>
          </w:tcPr>
          <w:p>
            <w:pPr>
              <w:pStyle w:val="TableContents"/>
              <w:bidi w:val="0"/>
              <w:spacing w:before="0" w:after="283"/>
              <w:jc w:val="left"/>
              <w:rPr/>
            </w:pPr>
            <w:r>
              <w:rPr/>
              <w:t> </w:t>
            </w:r>
            <w:bookmarkStart w:id="58" w:name="xdx_402_eus-gaap--OtherLiabilitiesNoncur"/>
            <w:bookmarkEnd w:id="58"/>
          </w:p>
        </w:tc>
      </w:tr>
      <w:tr>
        <w:trPr/>
        <w:tc>
          <w:tcPr>
            <w:tcW w:w="7715"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31</w:t>
            </w:r>
          </w:p>
        </w:tc>
        <w:tc>
          <w:tcPr>
            <w:tcW w:w="112" w:type="dxa"/>
            <w:tcBorders/>
            <w:shd w:fill="FFFFFF" w:val="clear"/>
            <w:vAlign w:val="center"/>
          </w:tcPr>
          <w:p>
            <w:pPr>
              <w:pStyle w:val="TableContents"/>
              <w:bidi w:val="0"/>
              <w:spacing w:before="0" w:after="283"/>
              <w:jc w:val="left"/>
              <w:rPr/>
            </w:pPr>
            <w:r>
              <w:rPr/>
              <w:t> </w:t>
            </w:r>
            <w:bookmarkStart w:id="59" w:name="xdx_402_eus-gaap--DeferredIncomeTaxLiabi"/>
            <w:bookmarkEnd w:id="59"/>
          </w:p>
        </w:tc>
      </w:tr>
      <w:tr>
        <w:trPr/>
        <w:tc>
          <w:tcPr>
            <w:tcW w:w="7715"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6,094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6,952</w:t>
            </w:r>
          </w:p>
        </w:tc>
        <w:tc>
          <w:tcPr>
            <w:tcW w:w="112" w:type="dxa"/>
            <w:tcBorders/>
            <w:shd w:fill="CCEEFF" w:val="clear"/>
            <w:vAlign w:val="center"/>
          </w:tcPr>
          <w:p>
            <w:pPr>
              <w:pStyle w:val="TableContents"/>
              <w:bidi w:val="0"/>
              <w:spacing w:before="0" w:after="283"/>
              <w:jc w:val="left"/>
              <w:rPr/>
            </w:pPr>
            <w:r>
              <w:rPr/>
              <w:t> </w:t>
            </w:r>
            <w:bookmarkStart w:id="60" w:name="xdx_407_eus-gaap--Liabilities_i01TI_mtLz"/>
            <w:bookmarkEnd w:id="60"/>
          </w:p>
        </w:tc>
      </w:tr>
      <w:tr>
        <w:trPr/>
        <w:tc>
          <w:tcPr>
            <w:tcW w:w="771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19,564</w:t>
            </w:r>
          </w:p>
        </w:tc>
        <w:tc>
          <w:tcPr>
            <w:tcW w:w="112"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1" w:name="xdx_405_eus-gaap--CommitmentsAndContinge"/>
            <w:bookmarkEnd w:id="61"/>
          </w:p>
        </w:tc>
      </w:tr>
      <w:tr>
        <w:trPr/>
        <w:tc>
          <w:tcPr>
            <w:tcW w:w="7715" w:type="dxa"/>
            <w:tcBorders/>
            <w:shd w:fill="FFFFFF" w:val="clear"/>
            <w:vAlign w:val="center"/>
          </w:tcPr>
          <w:p>
            <w:pPr>
              <w:pStyle w:val="TableContents"/>
              <w:bidi w:val="0"/>
              <w:spacing w:before="0" w:after="283"/>
              <w:jc w:val="left"/>
              <w:rPr/>
            </w:pPr>
            <w:r>
              <w:rPr/>
              <w:t>Commitments and contingencies (Note 13)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2" w:name="xdx_40D_eus-gaap--StockholdersEquityAbst"/>
            <w:bookmarkEnd w:id="62"/>
          </w:p>
        </w:tc>
      </w:tr>
      <w:tr>
        <w:trPr/>
        <w:tc>
          <w:tcPr>
            <w:tcW w:w="7715"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Share capital of $</w:t>
            </w:r>
            <w:bookmarkStart w:id="63" w:name="xdx_909_eus-gaap--CommonStockParOrStated"/>
            <w:bookmarkStart w:id="64" w:name="xdx_90E_eus-gaap--CommonStockParOrStated"/>
            <w:bookmarkEnd w:id="63"/>
            <w:bookmarkEnd w:id="64"/>
            <w:r>
              <w:rPr/>
              <w:t>0.000000005 par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5" w:name="xdx_40C_eus-gaap--CommonStockValue_i02I_"/>
            <w:bookmarkEnd w:id="65"/>
          </w:p>
        </w:tc>
      </w:tr>
      <w:tr>
        <w:trPr/>
        <w:tc>
          <w:tcPr>
            <w:tcW w:w="7715" w:type="dxa"/>
            <w:tcBorders/>
            <w:shd w:fill="FFFFFF" w:val="clear"/>
            <w:vAlign w:val="center"/>
          </w:tcPr>
          <w:p>
            <w:pPr>
              <w:pStyle w:val="TableContents"/>
              <w:bidi w:val="0"/>
              <w:spacing w:before="0" w:after="283"/>
              <w:jc w:val="left"/>
              <w:rPr/>
            </w:pPr>
            <w:r>
              <w:rPr/>
              <w:t xml:space="preserve">Authorized: </w:t>
            </w:r>
            <w:bookmarkStart w:id="66" w:name="xdx_905_eus-gaap--CommonStockSharesAutho"/>
            <w:bookmarkEnd w:id="66"/>
            <w:r>
              <w:rPr/>
              <w:t xml:space="preserve">4,365,687,180,943 and </w:t>
            </w:r>
            <w:bookmarkStart w:id="67" w:name="xdx_90F_eus-gaap--CommonStockSharesAutho"/>
            <w:bookmarkEnd w:id="67"/>
            <w:r>
              <w:rPr/>
              <w:t xml:space="preserve">761,963,201,733 ordinary shares at June 30, 2026, and December 31, 2025; issued and outstanding: </w:t>
            </w:r>
            <w:bookmarkStart w:id="68" w:name="xdx_906_eus-gaap--CommonStockSharesOutst"/>
            <w:bookmarkStart w:id="69" w:name="xdx_908_eus-gaap--CommonStockSharesIssue"/>
            <w:bookmarkEnd w:id="68"/>
            <w:bookmarkEnd w:id="69"/>
            <w:r>
              <w:rPr/>
              <w:t xml:space="preserve">140,032,769,533 and </w:t>
            </w:r>
            <w:bookmarkStart w:id="70" w:name="xdx_901_eus-gaap--CommonStockSharesOutst"/>
            <w:bookmarkStart w:id="71" w:name="xdx_909_eus-gaap--CommonStockSharesIssue"/>
            <w:bookmarkEnd w:id="70"/>
            <w:bookmarkEnd w:id="71"/>
            <w:r>
              <w:rPr/>
              <w:t>90,536,879,533 ordinary shares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72" w:name="xdx_40F_eus-gaap--AdditionalPaidInCapita"/>
            <w:bookmarkEnd w:id="72"/>
          </w:p>
        </w:tc>
      </w:tr>
      <w:tr>
        <w:trPr/>
        <w:tc>
          <w:tcPr>
            <w:tcW w:w="771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243,759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234,318</w:t>
            </w:r>
          </w:p>
        </w:tc>
        <w:tc>
          <w:tcPr>
            <w:tcW w:w="112" w:type="dxa"/>
            <w:tcBorders/>
            <w:shd w:fill="CCEEFF" w:val="clear"/>
            <w:vAlign w:val="center"/>
          </w:tcPr>
          <w:p>
            <w:pPr>
              <w:pStyle w:val="TableContents"/>
              <w:bidi w:val="0"/>
              <w:spacing w:before="0" w:after="283"/>
              <w:jc w:val="left"/>
              <w:rPr/>
            </w:pPr>
            <w:r>
              <w:rPr/>
              <w:t> </w:t>
            </w:r>
            <w:bookmarkStart w:id="73" w:name="xdx_401_ecustom--CapitalRedemptionReserv"/>
            <w:bookmarkEnd w:id="73"/>
          </w:p>
        </w:tc>
      </w:tr>
      <w:tr>
        <w:trPr/>
        <w:tc>
          <w:tcPr>
            <w:tcW w:w="7715" w:type="dxa"/>
            <w:tcBorders/>
            <w:shd w:fill="FFFFFF" w:val="clear"/>
            <w:vAlign w:val="center"/>
          </w:tcPr>
          <w:p>
            <w:pPr>
              <w:pStyle w:val="TableContents"/>
              <w:bidi w:val="0"/>
              <w:spacing w:before="0" w:after="283"/>
              <w:jc w:val="left"/>
              <w:rPr/>
            </w:pPr>
            <w:r>
              <w:rPr/>
              <w:t>Capital redemption reserve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59,342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59,342</w:t>
            </w:r>
          </w:p>
        </w:tc>
        <w:tc>
          <w:tcPr>
            <w:tcW w:w="112" w:type="dxa"/>
            <w:tcBorders/>
            <w:shd w:fill="FFFFFF" w:val="clear"/>
            <w:vAlign w:val="center"/>
          </w:tcPr>
          <w:p>
            <w:pPr>
              <w:pStyle w:val="TableContents"/>
              <w:bidi w:val="0"/>
              <w:spacing w:before="0" w:after="283"/>
              <w:jc w:val="left"/>
              <w:rPr/>
            </w:pPr>
            <w:r>
              <w:rPr/>
              <w:t> </w:t>
            </w:r>
            <w:bookmarkStart w:id="74" w:name="xdx_400_eus-gaap--AccumulatedOtherCompre"/>
            <w:bookmarkEnd w:id="74"/>
          </w:p>
        </w:tc>
      </w:tr>
      <w:tr>
        <w:trPr/>
        <w:tc>
          <w:tcPr>
            <w:tcW w:w="7715"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(782</w:t>
            </w:r>
          </w:p>
        </w:tc>
        <w:tc>
          <w:tcPr>
            <w:tcW w:w="112" w:type="dxa"/>
            <w:tcBorders/>
            <w:shd w:fill="CCEEFF" w:val="clear"/>
            <w:vAlign w:val="center"/>
          </w:tcPr>
          <w:p>
            <w:pPr>
              <w:pStyle w:val="TableContents"/>
              <w:bidi w:val="0"/>
              <w:spacing w:before="0" w:after="283"/>
              <w:jc w:val="left"/>
              <w:rPr/>
            </w:pPr>
            <w:r>
              <w:rPr/>
              <w:t>)</w:t>
            </w:r>
            <w:bookmarkStart w:id="75" w:name="xdx_401_eus-gaap--RetainedEarningsAccumu"/>
            <w:bookmarkEnd w:id="75"/>
          </w:p>
        </w:tc>
      </w:tr>
      <w:tr>
        <w:trPr/>
        <w:tc>
          <w:tcPr>
            <w:tcW w:w="771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(283,812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bottom w:w="28" w:type="dxa"/>
            </w:tcMar>
            <w:vAlign w:val="center"/>
          </w:tcPr>
          <w:p>
            <w:pPr>
              <w:pStyle w:val="TableContents"/>
              <w:bidi w:val="0"/>
              <w:spacing w:before="0" w:after="283"/>
              <w:jc w:val="right"/>
              <w:rPr/>
            </w:pPr>
            <w:r>
              <w:rPr/>
              <w:t>(264,550</w:t>
            </w:r>
          </w:p>
        </w:tc>
        <w:tc>
          <w:tcPr>
            <w:tcW w:w="112" w:type="dxa"/>
            <w:tcBorders/>
            <w:shd w:fill="FFFFFF" w:val="clear"/>
            <w:vAlign w:val="center"/>
          </w:tcPr>
          <w:p>
            <w:pPr>
              <w:pStyle w:val="TableContents"/>
              <w:bidi w:val="0"/>
              <w:spacing w:before="0" w:after="283"/>
              <w:jc w:val="left"/>
              <w:rPr/>
            </w:pPr>
            <w:r>
              <w:rPr/>
              <w:t>)</w:t>
            </w:r>
            <w:bookmarkStart w:id="76" w:name="xdx_404_eus-gaap--StockholdersEquity_i02"/>
            <w:bookmarkEnd w:id="76"/>
          </w:p>
        </w:tc>
      </w:tr>
      <w:tr>
        <w:trPr/>
        <w:tc>
          <w:tcPr>
            <w:tcW w:w="7715"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18,595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pPr>
            <w:r>
              <w:rPr/>
              <w:t>28,328</w:t>
            </w:r>
          </w:p>
        </w:tc>
        <w:tc>
          <w:tcPr>
            <w:tcW w:w="112" w:type="dxa"/>
            <w:tcBorders/>
            <w:shd w:fill="CCEEFF" w:val="clear"/>
            <w:vAlign w:val="center"/>
          </w:tcPr>
          <w:p>
            <w:pPr>
              <w:pStyle w:val="TableContents"/>
              <w:bidi w:val="0"/>
              <w:spacing w:before="0" w:after="283"/>
              <w:jc w:val="left"/>
              <w:rPr/>
            </w:pPr>
            <w:r>
              <w:rPr/>
              <w:t> </w:t>
            </w:r>
            <w:bookmarkStart w:id="77" w:name="xdx_40E_eus-gaap--LiabilitiesAndStockhol"/>
            <w:bookmarkEnd w:id="77"/>
          </w:p>
        </w:tc>
      </w:tr>
      <w:tr>
        <w:trPr/>
        <w:tc>
          <w:tcPr>
            <w:tcW w:w="7715"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38,624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pPr>
            <w:r>
              <w:rPr/>
              <w:t>47,892</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8" w:name="ak_004"/>
      <w:bookmarkEnd w:id="78"/>
      <w:r>
        <w:rPr>
          <w:rFonts w:ascii="Times New Roman;Times;Serif" w:hAnsi="Times New Roman;Times;Serif"/>
          <w:b/>
          <w:i w:val="false"/>
          <w:caps w:val="false"/>
          <w:smallCaps w:val="false"/>
          <w:sz w:val="20"/>
        </w:rPr>
        <w:t>AKARI THERAPEUTICS, PLC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except share and per share data)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9" w:name="xdx_30B_113_pn3n3_zE9bmKY8qHD6"/>
      <w:bookmarkStart w:id="80" w:name="xdx_30B_113_pn3n3_zE9bmKY8qHD6"/>
      <w:bookmarkEnd w:id="80"/>
    </w:p>
    <w:tbl>
      <w:tblPr>
        <w:tblW w:w="10205" w:type="dxa"/>
        <w:jc w:val="left"/>
        <w:tblInd w:w="0" w:type="dxa"/>
        <w:tblLayout w:type="fixed"/>
        <w:tblCellMar>
          <w:top w:w="0" w:type="dxa"/>
          <w:left w:w="0" w:type="dxa"/>
          <w:bottom w:w="0" w:type="dxa"/>
          <w:right w:w="0" w:type="dxa"/>
        </w:tblCellMar>
      </w:tblPr>
      <w:tblGrid>
        <w:gridCol w:w="2690"/>
        <w:gridCol w:w="60"/>
        <w:gridCol w:w="140"/>
        <w:gridCol w:w="1640"/>
        <w:gridCol w:w="95"/>
        <w:gridCol w:w="60"/>
        <w:gridCol w:w="140"/>
        <w:gridCol w:w="1520"/>
        <w:gridCol w:w="95"/>
        <w:gridCol w:w="60"/>
        <w:gridCol w:w="140"/>
        <w:gridCol w:w="1640"/>
        <w:gridCol w:w="95"/>
        <w:gridCol w:w="60"/>
        <w:gridCol w:w="140"/>
        <w:gridCol w:w="1520"/>
        <w:gridCol w:w="110"/>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 w:name="xdx_496_20260401__20260630_zRXPAFOaVSTe"/>
            <w:bookmarkEnd w:id="81"/>
          </w:p>
        </w:tc>
        <w:tc>
          <w:tcPr>
            <w:tcW w:w="17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 w:name="xdx_491_20250401__20250630_z9YYHTnkPOv6"/>
            <w:bookmarkEnd w:id="82"/>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 w:name="xdx_490_20260101__20260630_zBHBB0qmlrG5"/>
            <w:bookmarkEnd w:id="83"/>
          </w:p>
        </w:tc>
        <w:tc>
          <w:tcPr>
            <w:tcW w:w="17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4" w:name="xdx_49B_20250101__20250630_zms4yd4831Fj"/>
            <w:bookmarkEnd w:id="84"/>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85" w:name="xdx_400_eus-gaap--OperatingCostsAndExpen"/>
            <w:bookmarkEnd w:id="85"/>
          </w:p>
        </w:tc>
      </w:tr>
      <w:tr>
        <w:trPr/>
        <w:tc>
          <w:tcPr>
            <w:tcW w:w="269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6" w:name="xdx_400_eus-gaap--ResearchAndDevelopment"/>
            <w:bookmarkEnd w:id="86"/>
          </w:p>
        </w:tc>
      </w:tr>
      <w:tr>
        <w:trPr/>
        <w:tc>
          <w:tcPr>
            <w:tcW w:w="26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640" w:type="dxa"/>
            <w:tcBorders/>
            <w:shd w:fill="FFFFFF" w:val="clear"/>
            <w:vAlign w:val="center"/>
          </w:tcPr>
          <w:p>
            <w:pPr>
              <w:pStyle w:val="TableContents"/>
              <w:bidi w:val="0"/>
              <w:spacing w:before="0" w:after="283"/>
              <w:jc w:val="right"/>
              <w:rPr/>
            </w:pPr>
            <w:r>
              <w:rPr/>
              <w:t>2,077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640" w:type="dxa"/>
            <w:tcBorders/>
            <w:shd w:fill="FFFFFF" w:val="clear"/>
            <w:vAlign w:val="center"/>
          </w:tcPr>
          <w:p>
            <w:pPr>
              <w:pStyle w:val="TableContents"/>
              <w:bidi w:val="0"/>
              <w:spacing w:before="0" w:after="283"/>
              <w:jc w:val="right"/>
              <w:rPr/>
            </w:pPr>
            <w:r>
              <w:rPr/>
              <w:t>3,536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1,480</w:t>
            </w:r>
          </w:p>
        </w:tc>
        <w:tc>
          <w:tcPr>
            <w:tcW w:w="110" w:type="dxa"/>
            <w:tcBorders/>
            <w:shd w:fill="FFFFFF" w:val="clear"/>
            <w:vAlign w:val="center"/>
          </w:tcPr>
          <w:p>
            <w:pPr>
              <w:pStyle w:val="TableContents"/>
              <w:bidi w:val="0"/>
              <w:spacing w:before="0" w:after="283"/>
              <w:jc w:val="left"/>
              <w:rPr/>
            </w:pPr>
            <w:r>
              <w:rPr/>
              <w:t> </w:t>
            </w:r>
            <w:bookmarkStart w:id="87" w:name="xdx_402_eus-gaap--SellingGeneralAndAdmin"/>
            <w:bookmarkEnd w:id="87"/>
          </w:p>
        </w:tc>
      </w:tr>
      <w:tr>
        <w:trPr/>
        <w:tc>
          <w:tcPr>
            <w:tcW w:w="26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2,525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2,452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4,694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5,164</w:t>
            </w:r>
          </w:p>
        </w:tc>
        <w:tc>
          <w:tcPr>
            <w:tcW w:w="110" w:type="dxa"/>
            <w:tcBorders/>
            <w:shd w:fill="CCEEFF" w:val="clear"/>
            <w:vAlign w:val="center"/>
          </w:tcPr>
          <w:p>
            <w:pPr>
              <w:pStyle w:val="TableContents"/>
              <w:bidi w:val="0"/>
              <w:spacing w:before="0" w:after="283"/>
              <w:jc w:val="left"/>
              <w:rPr/>
            </w:pPr>
            <w:r>
              <w:rPr/>
              <w:t> </w:t>
            </w:r>
            <w:bookmarkStart w:id="88" w:name="xdx_406_eus-gaap--ImpairmentOfIntangible"/>
            <w:bookmarkEnd w:id="88"/>
          </w:p>
        </w:tc>
      </w:tr>
      <w:tr>
        <w:trPr/>
        <w:tc>
          <w:tcPr>
            <w:tcW w:w="2690" w:type="dxa"/>
            <w:tcBorders/>
            <w:shd w:fill="FFFFFF" w:val="clear"/>
            <w:vAlign w:val="center"/>
          </w:tcPr>
          <w:p>
            <w:pPr>
              <w:pStyle w:val="TableContents"/>
              <w:bidi w:val="0"/>
              <w:spacing w:before="0" w:after="283"/>
              <w:jc w:val="left"/>
              <w:rPr/>
            </w:pPr>
            <w:r>
              <w:rPr/>
              <w:t>Impairment loss on other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3,700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9" w:name="xdx_40C_eus-gaap--GoodwillImpairmentLoss"/>
            <w:bookmarkEnd w:id="89"/>
          </w:p>
        </w:tc>
      </w:tr>
      <w:tr>
        <w:trPr/>
        <w:tc>
          <w:tcPr>
            <w:tcW w:w="2690" w:type="dxa"/>
            <w:tcBorders/>
            <w:shd w:fill="CCEEFF" w:val="clear"/>
            <w:vAlign w:val="center"/>
          </w:tcPr>
          <w:p>
            <w:pPr>
              <w:pStyle w:val="TableContents"/>
              <w:bidi w:val="0"/>
              <w:spacing w:before="0" w:after="283"/>
              <w:jc w:val="left"/>
              <w:rPr/>
            </w:pPr>
            <w:r>
              <w:rPr/>
              <w:t>Impairment loss on 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pPr>
            <w:r>
              <w:rPr/>
              <w:t>8,430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0" w:name="xdx_401_eus-gaap--OperatingIncomeLoss_iT"/>
            <w:bookmarkEnd w:id="90"/>
          </w:p>
        </w:tc>
      </w:tr>
      <w:tr>
        <w:trPr/>
        <w:tc>
          <w:tcPr>
            <w:tcW w:w="269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(4,602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(3,119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(20,360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(6,644</w:t>
            </w:r>
          </w:p>
        </w:tc>
        <w:tc>
          <w:tcPr>
            <w:tcW w:w="110" w:type="dxa"/>
            <w:tcBorders/>
            <w:shd w:fill="FFFFFF" w:val="clear"/>
            <w:vAlign w:val="center"/>
          </w:tcPr>
          <w:p>
            <w:pPr>
              <w:pStyle w:val="TableContents"/>
              <w:bidi w:val="0"/>
              <w:spacing w:before="0" w:after="283"/>
              <w:jc w:val="left"/>
              <w:rPr/>
            </w:pPr>
            <w:r>
              <w:rPr/>
              <w:t>)</w:t>
            </w:r>
            <w:bookmarkStart w:id="91" w:name="xdx_401_eus-gaap--NonoperatingIncomeExpe"/>
            <w:bookmarkEnd w:id="91"/>
          </w:p>
        </w:tc>
      </w:tr>
      <w:tr>
        <w:trPr/>
        <w:tc>
          <w:tcPr>
            <w:tcW w:w="269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2" w:name="xdx_409_eus-gaap--InterestExpenseNonoper"/>
            <w:bookmarkEnd w:id="92"/>
          </w:p>
        </w:tc>
      </w:tr>
      <w:tr>
        <w:trPr/>
        <w:tc>
          <w:tcPr>
            <w:tcW w:w="26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(141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(105</w:t>
            </w:r>
          </w:p>
        </w:tc>
        <w:tc>
          <w:tcPr>
            <w:tcW w:w="110" w:type="dxa"/>
            <w:tcBorders/>
            <w:shd w:fill="FFFFFF" w:val="clear"/>
            <w:vAlign w:val="center"/>
          </w:tcPr>
          <w:p>
            <w:pPr>
              <w:pStyle w:val="TableContents"/>
              <w:bidi w:val="0"/>
              <w:spacing w:before="0" w:after="283"/>
              <w:jc w:val="left"/>
              <w:rPr/>
            </w:pPr>
            <w:r>
              <w:rPr/>
              <w:t>)</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3" w:name="xdx_409_ecustom--GainOnSettlementOfCurre"/>
            <w:bookmarkEnd w:id="93"/>
          </w:p>
        </w:tc>
      </w:tr>
      <w:tr>
        <w:trPr/>
        <w:tc>
          <w:tcPr>
            <w:tcW w:w="2690" w:type="dxa"/>
            <w:tcBorders/>
            <w:shd w:fill="FFFFFF" w:val="clear"/>
            <w:vAlign w:val="center"/>
          </w:tcPr>
          <w:p>
            <w:pPr>
              <w:pStyle w:val="TableContents"/>
              <w:bidi w:val="0"/>
              <w:spacing w:before="0" w:after="283"/>
              <w:jc w:val="left"/>
              <w:rPr/>
            </w:pPr>
            <w:r>
              <w:rPr/>
              <w:t>Gain on settlement of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1,244</w:t>
            </w:r>
          </w:p>
        </w:tc>
        <w:tc>
          <w:tcPr>
            <w:tcW w:w="110" w:type="dxa"/>
            <w:tcBorders/>
            <w:shd w:fill="FFFFFF" w:val="clear"/>
            <w:vAlign w:val="center"/>
          </w:tcPr>
          <w:p>
            <w:pPr>
              <w:pStyle w:val="TableContents"/>
              <w:bidi w:val="0"/>
              <w:spacing w:before="0" w:after="283"/>
              <w:jc w:val="left"/>
              <w:rPr/>
            </w:pPr>
            <w:r>
              <w:rPr/>
              <w:t> </w:t>
            </w:r>
            <w:bookmarkStart w:id="94" w:name="xdx_402_eus-gaap--FairValueLiabilitiesMe"/>
            <w:bookmarkEnd w:id="94"/>
          </w:p>
        </w:tc>
      </w:tr>
      <w:tr>
        <w:trPr/>
        <w:tc>
          <w:tcPr>
            <w:tcW w:w="2690"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80</w:t>
            </w:r>
          </w:p>
        </w:tc>
        <w:tc>
          <w:tcPr>
            <w:tcW w:w="110" w:type="dxa"/>
            <w:tcBorders/>
            <w:shd w:fill="CCEEFF" w:val="clear"/>
            <w:vAlign w:val="center"/>
          </w:tcPr>
          <w:p>
            <w:pPr>
              <w:pStyle w:val="TableContents"/>
              <w:bidi w:val="0"/>
              <w:spacing w:before="0" w:after="283"/>
              <w:jc w:val="left"/>
              <w:rPr/>
            </w:pPr>
            <w:r>
              <w:rPr/>
              <w:t> </w:t>
            </w:r>
            <w:bookmarkStart w:id="95" w:name="xdx_40C_eus-gaap--ForeignCurrencyTransac"/>
            <w:bookmarkEnd w:id="95"/>
          </w:p>
        </w:tc>
      </w:tr>
      <w:tr>
        <w:trPr/>
        <w:tc>
          <w:tcPr>
            <w:tcW w:w="2690" w:type="dxa"/>
            <w:tcBorders/>
            <w:shd w:fill="FFFFFF" w:val="clear"/>
            <w:vAlign w:val="center"/>
          </w:tcPr>
          <w:p>
            <w:pPr>
              <w:pStyle w:val="TableContents"/>
              <w:bidi w:val="0"/>
              <w:spacing w:before="0" w:after="283"/>
              <w:jc w:val="left"/>
              <w:rPr/>
            </w:pPr>
            <w:r>
              <w:rPr/>
              <w:t>Foreign currency exchange gain (loss),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(175</w:t>
            </w:r>
          </w:p>
        </w:tc>
        <w:tc>
          <w:tcPr>
            <w:tcW w:w="110" w:type="dxa"/>
            <w:tcBorders/>
            <w:shd w:fill="FFFFFF" w:val="clear"/>
            <w:vAlign w:val="center"/>
          </w:tcPr>
          <w:p>
            <w:pPr>
              <w:pStyle w:val="TableContents"/>
              <w:bidi w:val="0"/>
              <w:spacing w:before="0" w:after="283"/>
              <w:jc w:val="left"/>
              <w:rPr/>
            </w:pPr>
            <w:r>
              <w:rPr/>
              <w:t>)</w:t>
            </w:r>
            <w:bookmarkStart w:id="96" w:name="xdx_402_eus-gaap--GainLossOnDerivativeIn"/>
            <w:bookmarkEnd w:id="96"/>
          </w:p>
        </w:tc>
      </w:tr>
      <w:tr>
        <w:trPr/>
        <w:tc>
          <w:tcPr>
            <w:tcW w:w="269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pPr>
            <w:r>
              <w:rPr/>
              <w:t>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7" w:name="xdx_40D_eus-gaap--NonoperatingIncomeExpe"/>
            <w:bookmarkEnd w:id="97"/>
          </w:p>
        </w:tc>
      </w:tr>
      <w:tr>
        <w:trPr/>
        <w:tc>
          <w:tcPr>
            <w:tcW w:w="2690"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(205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239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1,044</w:t>
            </w:r>
          </w:p>
        </w:tc>
        <w:tc>
          <w:tcPr>
            <w:tcW w:w="11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8" w:name="xdx_401_eus-gaap--IncomeLossFromContinui"/>
            <w:bookmarkEnd w:id="98"/>
          </w:p>
        </w:tc>
      </w:tr>
      <w:tr>
        <w:trPr/>
        <w:tc>
          <w:tcPr>
            <w:tcW w:w="2690" w:type="dxa"/>
            <w:tcBorders/>
            <w:shd w:fill="FFFFFF" w:val="clear"/>
            <w:vAlign w:val="center"/>
          </w:tcPr>
          <w:p>
            <w:pPr>
              <w:pStyle w:val="TableContents"/>
              <w:bidi w:val="0"/>
              <w:spacing w:before="0" w:after="283"/>
              <w:jc w:val="left"/>
              <w:rPr/>
            </w:pPr>
            <w:r>
              <w:rPr/>
              <w:t>Net loss before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640" w:type="dxa"/>
            <w:tcBorders/>
            <w:shd w:fill="FFFFFF" w:val="clear"/>
            <w:vAlign w:val="center"/>
          </w:tcPr>
          <w:p>
            <w:pPr>
              <w:pStyle w:val="TableContents"/>
              <w:bidi w:val="0"/>
              <w:spacing w:before="0" w:after="283"/>
              <w:jc w:val="right"/>
              <w:rPr/>
            </w:pPr>
            <w:r>
              <w:rPr/>
              <w:t>(4,807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(1,895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640" w:type="dxa"/>
            <w:tcBorders/>
            <w:shd w:fill="FFFFFF" w:val="clear"/>
            <w:vAlign w:val="center"/>
          </w:tcPr>
          <w:p>
            <w:pPr>
              <w:pStyle w:val="TableContents"/>
              <w:bidi w:val="0"/>
              <w:spacing w:before="0" w:after="283"/>
              <w:jc w:val="right"/>
              <w:rPr/>
            </w:pPr>
            <w:r>
              <w:rPr/>
              <w:t>(20,121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(5,600</w:t>
            </w:r>
          </w:p>
        </w:tc>
        <w:tc>
          <w:tcPr>
            <w:tcW w:w="110" w:type="dxa"/>
            <w:tcBorders/>
            <w:shd w:fill="FFFFFF" w:val="clear"/>
            <w:vAlign w:val="center"/>
          </w:tcPr>
          <w:p>
            <w:pPr>
              <w:pStyle w:val="TableContents"/>
              <w:bidi w:val="0"/>
              <w:spacing w:before="0" w:after="283"/>
              <w:jc w:val="left"/>
              <w:rPr/>
            </w:pPr>
            <w:r>
              <w:rPr/>
              <w:t>)</w:t>
            </w:r>
            <w:bookmarkStart w:id="99" w:name="xdx_409_eus-gaap--IncomeTaxExpenseBenefi"/>
            <w:bookmarkEnd w:id="99"/>
          </w:p>
        </w:tc>
      </w:tr>
      <w:tr>
        <w:trPr/>
        <w:tc>
          <w:tcPr>
            <w:tcW w:w="2690" w:type="dxa"/>
            <w:tcBorders/>
            <w:shd w:fill="CCEEFF" w:val="clear"/>
            <w:vAlign w:val="center"/>
          </w:tcPr>
          <w:p>
            <w:pPr>
              <w:pStyle w:val="TableContents"/>
              <w:bidi w:val="0"/>
              <w:spacing w:before="0" w:after="283"/>
              <w:jc w:val="left"/>
              <w:rPr/>
            </w:pPr>
            <w:r>
              <w:rPr/>
              <w:t>Benefit from deferred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pPr>
            <w:r>
              <w:rPr/>
              <w:t>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0" w:name="xdx_40D_eus-gaap--NetIncomeLoss_i01T_mtN"/>
            <w:bookmarkEnd w:id="100"/>
          </w:p>
        </w:tc>
      </w:tr>
      <w:tr>
        <w:trPr/>
        <w:tc>
          <w:tcPr>
            <w:tcW w:w="26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40" w:type="dxa"/>
            <w:tcBorders>
              <w:bottom w:val="double" w:sz="6" w:space="0" w:color="000000"/>
            </w:tcBorders>
            <w:shd w:fill="FFFFFF" w:val="clear"/>
            <w:tcMar>
              <w:bottom w:w="28" w:type="dxa"/>
            </w:tcMar>
            <w:vAlign w:val="center"/>
          </w:tcPr>
          <w:p>
            <w:pPr>
              <w:pStyle w:val="TableContents"/>
              <w:bidi w:val="0"/>
              <w:spacing w:before="0" w:after="283"/>
              <w:jc w:val="right"/>
              <w:rPr/>
            </w:pPr>
            <w:r>
              <w:rPr/>
              <w:t>(4,807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pPr>
            <w:r>
              <w:rPr/>
              <w:t>(1,895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40" w:type="dxa"/>
            <w:tcBorders>
              <w:bottom w:val="double" w:sz="6" w:space="0" w:color="000000"/>
            </w:tcBorders>
            <w:shd w:fill="FFFFFF" w:val="clear"/>
            <w:tcMar>
              <w:bottom w:w="28" w:type="dxa"/>
            </w:tcMar>
            <w:vAlign w:val="center"/>
          </w:tcPr>
          <w:p>
            <w:pPr>
              <w:pStyle w:val="TableContents"/>
              <w:bidi w:val="0"/>
              <w:spacing w:before="0" w:after="283"/>
              <w:jc w:val="right"/>
              <w:rPr/>
            </w:pPr>
            <w:r>
              <w:rPr/>
              <w:t>(19,262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pPr>
            <w:r>
              <w:rPr/>
              <w:t>(5,600</w:t>
            </w:r>
          </w:p>
        </w:tc>
        <w:tc>
          <w:tcPr>
            <w:tcW w:w="110" w:type="dxa"/>
            <w:tcBorders/>
            <w:shd w:fill="FFFFFF" w:val="clear"/>
            <w:vAlign w:val="center"/>
          </w:tcPr>
          <w:p>
            <w:pPr>
              <w:pStyle w:val="TableContents"/>
              <w:bidi w:val="0"/>
              <w:spacing w:before="0" w:after="283"/>
              <w:jc w:val="left"/>
              <w:rPr/>
            </w:pPr>
            <w:r>
              <w:rPr/>
              <w:t>)</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1" w:name="xdx_906_eus-gaap--EarningsPerShareDilute"/>
            <w:bookmarkStart w:id="102" w:name="xdx_90C_eus-gaap--EarningsPerShareBasic_"/>
            <w:bookmarkEnd w:id="101"/>
            <w:bookmarkEnd w:id="102"/>
            <w:r>
              <w:rPr/>
              <w:t>(0.00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3" w:name="xdx_90C_eus-gaap--EarningsPerShareDilute"/>
            <w:bookmarkStart w:id="104" w:name="xdx_902_eus-gaap--EarningsPerShareBasic_"/>
            <w:bookmarkEnd w:id="103"/>
            <w:bookmarkEnd w:id="104"/>
            <w:r>
              <w:rPr/>
              <w:t>(0.00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5" w:name="xdx_90E_eus-gaap--EarningsPerShareDilute"/>
            <w:bookmarkStart w:id="106" w:name="xdx_907_eus-gaap--EarningsPerShareBasic_"/>
            <w:bookmarkEnd w:id="105"/>
            <w:bookmarkEnd w:id="106"/>
            <w:r>
              <w:rPr/>
              <w:t>(0.00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7" w:name="xdx_900_eus-gaap--EarningsPerShareDilute"/>
            <w:bookmarkStart w:id="108" w:name="xdx_90A_eus-gaap--EarningsPerShareBasic_"/>
            <w:bookmarkEnd w:id="107"/>
            <w:bookmarkEnd w:id="108"/>
            <w:r>
              <w:rPr/>
              <w:t>(0.00</w:t>
            </w:r>
          </w:p>
        </w:tc>
        <w:tc>
          <w:tcPr>
            <w:tcW w:w="110" w:type="dxa"/>
            <w:tcBorders/>
            <w:shd w:fill="FFFFFF" w:val="clear"/>
            <w:vAlign w:val="center"/>
          </w:tcPr>
          <w:p>
            <w:pPr>
              <w:pStyle w:val="TableContents"/>
              <w:bidi w:val="0"/>
              <w:spacing w:before="0" w:after="283"/>
              <w:jc w:val="left"/>
              <w:rPr/>
            </w:pPr>
            <w:r>
              <w:rPr/>
              <w:t>)</w:t>
            </w:r>
          </w:p>
        </w:tc>
      </w:tr>
      <w:tr>
        <w:trPr/>
        <w:tc>
          <w:tcPr>
            <w:tcW w:w="2690" w:type="dxa"/>
            <w:tcBorders/>
            <w:shd w:fill="CCEEFF" w:val="clear"/>
            <w:vAlign w:val="center"/>
          </w:tcPr>
          <w:p>
            <w:pPr>
              <w:pStyle w:val="TableContents"/>
              <w:bidi w:val="0"/>
              <w:spacing w:before="0" w:after="283"/>
              <w:jc w:val="left"/>
              <w:rPr/>
            </w:pPr>
            <w:r>
              <w:rPr/>
              <w:t>Weighted-average number of ordinary shares used in computing 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9" w:name="xdx_902_eus-gaap--WeightedAverageNumberO"/>
            <w:bookmarkStart w:id="110" w:name="xdx_90B_eus-gaap--WeightedAverageNumberO"/>
            <w:bookmarkEnd w:id="109"/>
            <w:bookmarkEnd w:id="110"/>
            <w:r>
              <w:rPr/>
              <w:t>143,317,469,445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1" w:name="xdx_90D_eus-gaap--WeightedAverageNumberO"/>
            <w:bookmarkStart w:id="112" w:name="xdx_909_eus-gaap--WeightedAverageNumberO"/>
            <w:bookmarkEnd w:id="111"/>
            <w:bookmarkEnd w:id="112"/>
            <w:r>
              <w:rPr/>
              <w:t>62,943,895,665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3" w:name="xdx_90F_eus-gaap--WeightedAverageNumberO"/>
            <w:bookmarkStart w:id="114" w:name="xdx_90E_eus-gaap--WeightedAverageNumberO"/>
            <w:bookmarkEnd w:id="113"/>
            <w:bookmarkEnd w:id="114"/>
            <w:r>
              <w:rPr/>
              <w:t>131,037,241,423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5" w:name="xdx_902_eus-gaap--WeightedAverageNumberO"/>
            <w:bookmarkStart w:id="116" w:name="xdx_90A_eus-gaap--WeightedAverageNumberO"/>
            <w:bookmarkEnd w:id="115"/>
            <w:bookmarkEnd w:id="116"/>
            <w:r>
              <w:rPr/>
              <w:t>58,766,089,753</w:t>
            </w:r>
          </w:p>
        </w:tc>
        <w:tc>
          <w:tcPr>
            <w:tcW w:w="11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7" w:name="xdx_406_eus-gaap--ComprehensiveIncomeNet"/>
            <w:bookmarkEnd w:id="117"/>
          </w:p>
        </w:tc>
      </w:tr>
      <w:tr>
        <w:trPr/>
        <w:tc>
          <w:tcPr>
            <w:tcW w:w="2690" w:type="dxa"/>
            <w:tcBorders/>
            <w:shd w:fill="CCEEFF" w:val="clear"/>
            <w:vAlign w:val="center"/>
          </w:tcPr>
          <w:p>
            <w:pPr>
              <w:pStyle w:val="TableContents"/>
              <w:bidi w:val="0"/>
              <w:spacing w:before="0" w:after="283"/>
              <w:jc w:val="left"/>
              <w:rPr/>
            </w:pPr>
            <w:r>
              <w:rPr/>
              <w:t>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8" w:name="xdx_407_eus-gaap--NetIncomeLoss_maCINOTz"/>
            <w:bookmarkEnd w:id="118"/>
          </w:p>
        </w:tc>
      </w:tr>
      <w:tr>
        <w:trPr/>
        <w:tc>
          <w:tcPr>
            <w:tcW w:w="26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640" w:type="dxa"/>
            <w:tcBorders/>
            <w:shd w:fill="FFFFFF" w:val="clear"/>
            <w:vAlign w:val="center"/>
          </w:tcPr>
          <w:p>
            <w:pPr>
              <w:pStyle w:val="TableContents"/>
              <w:bidi w:val="0"/>
              <w:spacing w:before="0" w:after="283"/>
              <w:jc w:val="right"/>
              <w:rPr/>
            </w:pPr>
            <w:r>
              <w:rPr/>
              <w:t>(4,807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(1,895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640" w:type="dxa"/>
            <w:tcBorders/>
            <w:shd w:fill="FFFFFF" w:val="clear"/>
            <w:vAlign w:val="center"/>
          </w:tcPr>
          <w:p>
            <w:pPr>
              <w:pStyle w:val="TableContents"/>
              <w:bidi w:val="0"/>
              <w:spacing w:before="0" w:after="283"/>
              <w:jc w:val="right"/>
              <w:rPr/>
            </w:pPr>
            <w:r>
              <w:rPr/>
              <w:t>(19,262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(5,600</w:t>
            </w:r>
          </w:p>
        </w:tc>
        <w:tc>
          <w:tcPr>
            <w:tcW w:w="110" w:type="dxa"/>
            <w:tcBorders/>
            <w:shd w:fill="FFFFFF" w:val="clear"/>
            <w:vAlign w:val="center"/>
          </w:tcPr>
          <w:p>
            <w:pPr>
              <w:pStyle w:val="TableContents"/>
              <w:bidi w:val="0"/>
              <w:spacing w:before="0" w:after="283"/>
              <w:jc w:val="left"/>
              <w:rPr/>
            </w:pPr>
            <w:r>
              <w:rPr/>
              <w:t>)</w:t>
            </w:r>
            <w:bookmarkStart w:id="119" w:name="xdx_400_eus-gaap--OtherComprehensiveInco"/>
            <w:bookmarkEnd w:id="119"/>
          </w:p>
        </w:tc>
      </w:tr>
      <w:tr>
        <w:trPr/>
        <w:tc>
          <w:tcPr>
            <w:tcW w:w="2690" w:type="dxa"/>
            <w:tcBorders/>
            <w:shd w:fill="CCEEFF" w:val="clear"/>
            <w:vAlign w:val="center"/>
          </w:tcPr>
          <w:p>
            <w:pPr>
              <w:pStyle w:val="TableContents"/>
              <w:bidi w:val="0"/>
              <w:spacing w:before="0" w:after="283"/>
              <w:jc w:val="left"/>
              <w:rPr/>
            </w:pPr>
            <w:r>
              <w:rPr/>
              <w:t>Other comprehensive (loss) income, net of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0" w:name="xdx_407_eus-gaap--OtherComprehensiveInco"/>
            <w:bookmarkEnd w:id="120"/>
          </w:p>
        </w:tc>
      </w:tr>
      <w:tr>
        <w:trPr/>
        <w:tc>
          <w:tcPr>
            <w:tcW w:w="269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FFFFFF" w:val="clear"/>
            <w:tcMar>
              <w:bottom w:w="28" w:type="dxa"/>
            </w:tcMar>
            <w:vAlign w:val="center"/>
          </w:tcPr>
          <w:p>
            <w:pPr>
              <w:pStyle w:val="TableContents"/>
              <w:bidi w:val="0"/>
              <w:spacing w:before="0" w:after="283"/>
              <w:jc w:val="right"/>
              <w:rPr/>
            </w:pPr>
            <w:r>
              <w:rPr/>
              <w:t>(333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FFFFFF" w:val="clear"/>
            <w:tcMar>
              <w:bottom w:w="28" w:type="dxa"/>
            </w:tcMar>
            <w:vAlign w:val="center"/>
          </w:tcPr>
          <w:p>
            <w:pPr>
              <w:pStyle w:val="TableContents"/>
              <w:bidi w:val="0"/>
              <w:spacing w:before="0" w:after="283"/>
              <w:jc w:val="right"/>
              <w:rPr/>
            </w:pPr>
            <w:r>
              <w:rPr/>
              <w:t>(368</w:t>
            </w:r>
          </w:p>
        </w:tc>
        <w:tc>
          <w:tcPr>
            <w:tcW w:w="110" w:type="dxa"/>
            <w:tcBorders/>
            <w:shd w:fill="FFFFFF" w:val="clear"/>
            <w:vAlign w:val="center"/>
          </w:tcPr>
          <w:p>
            <w:pPr>
              <w:pStyle w:val="TableContents"/>
              <w:bidi w:val="0"/>
              <w:spacing w:before="0" w:after="283"/>
              <w:jc w:val="left"/>
              <w:rPr/>
            </w:pPr>
            <w:r>
              <w:rPr/>
              <w:t>)</w:t>
            </w:r>
            <w:bookmarkStart w:id="121" w:name="xdx_40C_eus-gaap--OtherComprehensiveInco"/>
            <w:bookmarkEnd w:id="121"/>
          </w:p>
        </w:tc>
      </w:tr>
      <w:tr>
        <w:trPr/>
        <w:tc>
          <w:tcPr>
            <w:tcW w:w="2690" w:type="dxa"/>
            <w:tcBorders/>
            <w:shd w:fill="CCEEFF" w:val="clear"/>
            <w:vAlign w:val="center"/>
          </w:tcPr>
          <w:p>
            <w:pPr>
              <w:pStyle w:val="TableContents"/>
              <w:bidi w:val="0"/>
              <w:spacing w:before="0" w:after="283"/>
              <w:jc w:val="left"/>
              <w:rPr/>
            </w:pPr>
            <w:r>
              <w:rPr/>
              <w:t>Total other comprehensive (loss) income, net of tax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(368</w:t>
            </w:r>
          </w:p>
        </w:tc>
        <w:tc>
          <w:tcPr>
            <w:tcW w:w="110" w:type="dxa"/>
            <w:tcBorders/>
            <w:shd w:fill="CCEEFF" w:val="clear"/>
            <w:vAlign w:val="center"/>
          </w:tcPr>
          <w:p>
            <w:pPr>
              <w:pStyle w:val="TableContents"/>
              <w:bidi w:val="0"/>
              <w:spacing w:before="0" w:after="283"/>
              <w:jc w:val="left"/>
              <w:rPr/>
            </w:pPr>
            <w:r>
              <w:rPr/>
              <w:t>)</w:t>
            </w:r>
            <w:bookmarkStart w:id="122" w:name="xdx_406_eus-gaap--ComprehensiveIncomeNet"/>
            <w:bookmarkEnd w:id="122"/>
          </w:p>
        </w:tc>
      </w:tr>
      <w:tr>
        <w:trPr/>
        <w:tc>
          <w:tcPr>
            <w:tcW w:w="2690" w:type="dxa"/>
            <w:tcBorders/>
            <w:shd w:fill="FFFFFF" w:val="clear"/>
            <w:vAlign w:val="center"/>
          </w:tcPr>
          <w:p>
            <w:pPr>
              <w:pStyle w:val="TableContents"/>
              <w:bidi w:val="0"/>
              <w:spacing w:before="0" w:after="283"/>
              <w:jc w:val="left"/>
              <w:rPr/>
            </w:pPr>
            <w:r>
              <w:rPr/>
              <w:t>Total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FFFFFF" w:val="clear"/>
            <w:tcMar>
              <w:bottom w:w="28" w:type="dxa"/>
            </w:tcMar>
            <w:vAlign w:val="center"/>
          </w:tcPr>
          <w:p>
            <w:pPr>
              <w:pStyle w:val="TableContents"/>
              <w:bidi w:val="0"/>
              <w:spacing w:before="0" w:after="283"/>
              <w:jc w:val="right"/>
              <w:rPr/>
            </w:pPr>
            <w:r>
              <w:rPr/>
              <w:t>(4,734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pPr>
            <w:r>
              <w:rPr/>
              <w:t>(2,228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FFFFFF" w:val="clear"/>
            <w:tcMar>
              <w:bottom w:w="28" w:type="dxa"/>
            </w:tcMar>
            <w:vAlign w:val="center"/>
          </w:tcPr>
          <w:p>
            <w:pPr>
              <w:pStyle w:val="TableContents"/>
              <w:bidi w:val="0"/>
              <w:spacing w:before="0" w:after="283"/>
              <w:jc w:val="right"/>
              <w:rPr/>
            </w:pPr>
            <w:r>
              <w:rPr/>
              <w:t>(19,175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pPr>
            <w:r>
              <w:rPr/>
              <w:t>(5,968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3" w:name="ak_005"/>
      <w:bookmarkEnd w:id="123"/>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Shareholders’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except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4" w:name="xdx_30D_114_pn3n3_z1TtbWnIJ4He"/>
      <w:bookmarkStart w:id="125" w:name="xdx_30D_114_pn3n3_z1TtbWnIJ4He"/>
      <w:bookmarkEnd w:id="125"/>
    </w:p>
    <w:tbl>
      <w:tblPr>
        <w:tblW w:w="11575" w:type="dxa"/>
        <w:jc w:val="left"/>
        <w:tblInd w:w="0" w:type="dxa"/>
        <w:tblLayout w:type="fixed"/>
        <w:tblCellMar>
          <w:top w:w="0" w:type="dxa"/>
          <w:left w:w="0" w:type="dxa"/>
          <w:bottom w:w="0" w:type="dxa"/>
          <w:right w:w="0" w:type="dxa"/>
        </w:tblCellMar>
      </w:tblPr>
      <w:tblGrid>
        <w:gridCol w:w="1340"/>
        <w:gridCol w:w="60"/>
        <w:gridCol w:w="60"/>
        <w:gridCol w:w="1640"/>
        <w:gridCol w:w="60"/>
        <w:gridCol w:w="60"/>
        <w:gridCol w:w="301"/>
        <w:gridCol w:w="559"/>
        <w:gridCol w:w="60"/>
        <w:gridCol w:w="60"/>
        <w:gridCol w:w="163"/>
        <w:gridCol w:w="937"/>
        <w:gridCol w:w="60"/>
        <w:gridCol w:w="60"/>
        <w:gridCol w:w="214"/>
        <w:gridCol w:w="1051"/>
        <w:gridCol w:w="60"/>
        <w:gridCol w:w="60"/>
        <w:gridCol w:w="378"/>
        <w:gridCol w:w="1232"/>
        <w:gridCol w:w="95"/>
        <w:gridCol w:w="60"/>
        <w:gridCol w:w="188"/>
        <w:gridCol w:w="1182"/>
        <w:gridCol w:w="95"/>
        <w:gridCol w:w="60"/>
        <w:gridCol w:w="214"/>
        <w:gridCol w:w="1156"/>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 w:name="xdx_4BF_us-gaap--StatementEquityComponen"/>
            <w:bookmarkEnd w:id="12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 w:name="xdx_4B9_us-gaap--StatementEquityComponen"/>
            <w:bookmarkEnd w:id="127"/>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BC_us-gaap--StatementEquityComponen"/>
            <w:bookmarkEnd w:id="128"/>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7_us-gaap--StatementEquityComponen"/>
            <w:bookmarkEnd w:id="129"/>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 w:name="xdx_4BB_us-gaap--StatementEquityComponen"/>
            <w:bookmarkEnd w:id="130"/>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 w:name="xdx_4B4_z27v6C7ArO3j"/>
            <w:bookmarkEnd w:id="131"/>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5"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2026</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0"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0"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Redemption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Shareholders’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32" w:name="xdx_431_c20260101__20260331_eus-gaap--St"/>
            <w:bookmarkEnd w:id="132"/>
          </w:p>
        </w:tc>
      </w:tr>
      <w:tr>
        <w:trPr/>
        <w:tc>
          <w:tcPr>
            <w:tcW w:w="1340"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3" w:name="xdx_986_eus-gaap--SharesOutstanding_iS_p"/>
            <w:bookmarkEnd w:id="133"/>
          </w:p>
        </w:tc>
        <w:tc>
          <w:tcPr>
            <w:tcW w:w="1640" w:type="dxa"/>
            <w:tcBorders/>
            <w:shd w:fill="CCEEFF" w:val="clear"/>
            <w:vAlign w:val="center"/>
          </w:tcPr>
          <w:p>
            <w:pPr>
              <w:pStyle w:val="TableContents"/>
              <w:bidi w:val="0"/>
              <w:spacing w:before="0" w:after="283"/>
              <w:jc w:val="right"/>
              <w:rPr>
                <w:b/>
              </w:rPr>
            </w:pPr>
            <w:r>
              <w:rPr>
                <w:b/>
              </w:rPr>
              <w:t>90,536,879,533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234,318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051" w:type="dxa"/>
            <w:tcBorders/>
            <w:shd w:fill="CCEEFF" w:val="clear"/>
            <w:vAlign w:val="center"/>
          </w:tcPr>
          <w:p>
            <w:pPr>
              <w:pStyle w:val="TableContents"/>
              <w:bidi w:val="0"/>
              <w:spacing w:before="0" w:after="283"/>
              <w:jc w:val="right"/>
              <w:rPr>
                <w:b/>
              </w:rPr>
            </w:pPr>
            <w:r>
              <w:rPr>
                <w:b/>
              </w:rPr>
              <w:t>59,342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b/>
              </w:rPr>
            </w:pPr>
            <w:r>
              <w:rPr>
                <w:b/>
              </w:rPr>
              <w:t>$</w:t>
            </w:r>
          </w:p>
        </w:tc>
        <w:tc>
          <w:tcPr>
            <w:tcW w:w="1232" w:type="dxa"/>
            <w:tcBorders/>
            <w:shd w:fill="CCEEFF" w:val="clear"/>
            <w:vAlign w:val="center"/>
          </w:tcPr>
          <w:p>
            <w:pPr>
              <w:pStyle w:val="TableContents"/>
              <w:bidi w:val="0"/>
              <w:spacing w:before="0" w:after="283"/>
              <w:jc w:val="right"/>
              <w:rPr>
                <w:b/>
              </w:rPr>
            </w:pPr>
            <w:r>
              <w:rPr>
                <w:b/>
              </w:rPr>
              <w:t>(782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(264,550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28,328</w:t>
            </w:r>
          </w:p>
        </w:tc>
        <w:tc>
          <w:tcPr>
            <w:tcW w:w="110" w:type="dxa"/>
            <w:tcBorders/>
            <w:shd w:fill="CCEEFF" w:val="clear"/>
            <w:vAlign w:val="center"/>
          </w:tcPr>
          <w:p>
            <w:pPr>
              <w:pStyle w:val="TableContents"/>
              <w:bidi w:val="0"/>
              <w:spacing w:before="0" w:after="283"/>
              <w:jc w:val="left"/>
              <w:rPr/>
            </w:pPr>
            <w:r>
              <w:rPr/>
              <w:t> </w:t>
            </w:r>
            <w:bookmarkStart w:id="134" w:name="xdx_409_eus-gaap--StockIssuedDuringPerio"/>
            <w:bookmarkEnd w:id="134"/>
          </w:p>
        </w:tc>
      </w:tr>
      <w:tr>
        <w:trPr/>
        <w:tc>
          <w:tcPr>
            <w:tcW w:w="1340" w:type="dxa"/>
            <w:tcBorders/>
            <w:shd w:fill="FFFFFF" w:val="clear"/>
            <w:vAlign w:val="center"/>
          </w:tcPr>
          <w:p>
            <w:pPr>
              <w:pStyle w:val="TableContents"/>
              <w:bidi w:val="0"/>
              <w:spacing w:before="0" w:after="283"/>
              <w:jc w:val="left"/>
              <w:rPr/>
            </w:pPr>
            <w:r>
              <w:rPr/>
              <w:t xml:space="preserve">Issuance of share capital related to </w:t>
              <w:br/>
              <w:t>financing,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5" w:name="xdx_989_eus-gaap--StockIssuedDuringPerio"/>
            <w:bookmarkEnd w:id="135"/>
          </w:p>
        </w:tc>
        <w:tc>
          <w:tcPr>
            <w:tcW w:w="1640" w:type="dxa"/>
            <w:tcBorders/>
            <w:shd w:fill="FFFFFF" w:val="clear"/>
            <w:vAlign w:val="center"/>
          </w:tcPr>
          <w:p>
            <w:pPr>
              <w:pStyle w:val="TableContents"/>
              <w:bidi w:val="0"/>
              <w:spacing w:before="0" w:after="283"/>
              <w:jc w:val="right"/>
              <w:rPr/>
            </w:pPr>
            <w:r>
              <w:rPr/>
              <w:t>1,030,130,000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188</w:t>
            </w:r>
          </w:p>
        </w:tc>
        <w:tc>
          <w:tcPr>
            <w:tcW w:w="110" w:type="dxa"/>
            <w:tcBorders/>
            <w:shd w:fill="FFFFFF" w:val="clear"/>
            <w:vAlign w:val="center"/>
          </w:tcPr>
          <w:p>
            <w:pPr>
              <w:pStyle w:val="TableContents"/>
              <w:bidi w:val="0"/>
              <w:spacing w:before="0" w:after="283"/>
              <w:jc w:val="left"/>
              <w:rPr/>
            </w:pPr>
            <w:r>
              <w:rPr/>
              <w:t> </w:t>
            </w:r>
            <w:bookmarkStart w:id="136" w:name="xdx_40D_eus-gaap--AdjustmentsToAdditiona"/>
            <w:bookmarkEnd w:id="136"/>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305</w:t>
            </w:r>
          </w:p>
        </w:tc>
        <w:tc>
          <w:tcPr>
            <w:tcW w:w="110" w:type="dxa"/>
            <w:tcBorders/>
            <w:shd w:fill="CCEEFF" w:val="clear"/>
            <w:vAlign w:val="center"/>
          </w:tcPr>
          <w:p>
            <w:pPr>
              <w:pStyle w:val="TableContents"/>
              <w:bidi w:val="0"/>
              <w:spacing w:before="0" w:after="283"/>
              <w:jc w:val="left"/>
              <w:rPr/>
            </w:pPr>
            <w:r>
              <w:rPr/>
              <w:t> </w:t>
            </w:r>
            <w:bookmarkStart w:id="137" w:name="xdx_405_eus-gaap--OtherComprehensiveInco"/>
            <w:bookmarkEnd w:id="137"/>
          </w:p>
        </w:tc>
      </w:tr>
      <w:tr>
        <w:trPr/>
        <w:tc>
          <w:tcPr>
            <w:tcW w:w="134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 </w:t>
            </w:r>
            <w:bookmarkStart w:id="138" w:name="xdx_406_eus-gaap--NetIncomeLoss_pn3n3_zW"/>
            <w:bookmarkEnd w:id="138"/>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(14,455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(14,455</w:t>
            </w:r>
          </w:p>
        </w:tc>
        <w:tc>
          <w:tcPr>
            <w:tcW w:w="110" w:type="dxa"/>
            <w:tcBorders/>
            <w:shd w:fill="CCEEFF" w:val="clear"/>
            <w:vAlign w:val="center"/>
          </w:tcPr>
          <w:p>
            <w:pPr>
              <w:pStyle w:val="TableContents"/>
              <w:bidi w:val="0"/>
              <w:spacing w:before="0" w:after="283"/>
              <w:jc w:val="left"/>
              <w:rPr/>
            </w:pPr>
            <w:r>
              <w:rPr/>
              <w:t>)</w:t>
            </w:r>
            <w:bookmarkStart w:id="139" w:name="xdx_436_c20260401__20260630_eus-gaap--St"/>
            <w:bookmarkEnd w:id="139"/>
          </w:p>
        </w:tc>
      </w:tr>
      <w:tr>
        <w:trPr/>
        <w:tc>
          <w:tcPr>
            <w:tcW w:w="1340" w:type="dxa"/>
            <w:tcBorders/>
            <w:shd w:fill="FFFFFF" w:val="clear"/>
            <w:vAlign w:val="center"/>
          </w:tcPr>
          <w:p>
            <w:pPr>
              <w:pStyle w:val="TableContents"/>
              <w:bidi w:val="0"/>
              <w:spacing w:before="0" w:after="283"/>
              <w:jc w:val="left"/>
              <w:rPr>
                <w:b/>
              </w:rPr>
            </w:pPr>
            <w:r>
              <w:rPr>
                <w:b/>
              </w:rPr>
              <w:t>Balance,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0" w:name="xdx_981_eus-gaap--SharesOutstanding_iS_p"/>
            <w:bookmarkEnd w:id="140"/>
          </w:p>
        </w:tc>
        <w:tc>
          <w:tcPr>
            <w:tcW w:w="164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91,567,009,533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59,342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(279,005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14,380</w:t>
            </w:r>
          </w:p>
        </w:tc>
        <w:tc>
          <w:tcPr>
            <w:tcW w:w="110" w:type="dxa"/>
            <w:tcBorders/>
            <w:shd w:fill="FFFFFF" w:val="clear"/>
            <w:vAlign w:val="center"/>
          </w:tcPr>
          <w:p>
            <w:pPr>
              <w:pStyle w:val="TableContents"/>
              <w:bidi w:val="0"/>
              <w:spacing w:before="0" w:after="283"/>
              <w:jc w:val="left"/>
              <w:rPr/>
            </w:pPr>
            <w:r>
              <w:rPr/>
              <w:t> </w:t>
            </w:r>
            <w:bookmarkStart w:id="141" w:name="xdx_409_eus-gaap--StockIssuedDuringPerio"/>
            <w:bookmarkEnd w:id="141"/>
          </w:p>
        </w:tc>
      </w:tr>
      <w:tr>
        <w:trPr/>
        <w:tc>
          <w:tcPr>
            <w:tcW w:w="1340" w:type="dxa"/>
            <w:tcBorders/>
            <w:shd w:fill="CCEEFF" w:val="clear"/>
            <w:vAlign w:val="center"/>
          </w:tcPr>
          <w:p>
            <w:pPr>
              <w:pStyle w:val="TableContents"/>
              <w:bidi w:val="0"/>
              <w:spacing w:before="0" w:after="283"/>
              <w:jc w:val="left"/>
              <w:rPr/>
            </w:pPr>
            <w:r>
              <w:rPr/>
              <w:t xml:space="preserve">Issuance of share capital related to </w:t>
              <w:br/>
              <w:t>financing,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2" w:name="xdx_98B_eus-gaap--StockIssuedDuringPerio"/>
            <w:bookmarkEnd w:id="142"/>
          </w:p>
        </w:tc>
        <w:tc>
          <w:tcPr>
            <w:tcW w:w="1640" w:type="dxa"/>
            <w:tcBorders/>
            <w:shd w:fill="CCEEFF" w:val="clear"/>
            <w:vAlign w:val="center"/>
          </w:tcPr>
          <w:p>
            <w:pPr>
              <w:pStyle w:val="TableContents"/>
              <w:bidi w:val="0"/>
              <w:spacing w:before="0" w:after="283"/>
              <w:jc w:val="right"/>
              <w:rPr/>
            </w:pPr>
            <w:r>
              <w:rPr/>
              <w:t>21,127,920,000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5,203</w:t>
            </w:r>
          </w:p>
        </w:tc>
        <w:tc>
          <w:tcPr>
            <w:tcW w:w="110" w:type="dxa"/>
            <w:tcBorders/>
            <w:shd w:fill="CCEEFF" w:val="clear"/>
            <w:vAlign w:val="center"/>
          </w:tcPr>
          <w:p>
            <w:pPr>
              <w:pStyle w:val="TableContents"/>
              <w:bidi w:val="0"/>
              <w:spacing w:before="0" w:after="283"/>
              <w:jc w:val="left"/>
              <w:rPr/>
            </w:pPr>
            <w:r>
              <w:rPr/>
              <w:t> </w:t>
            </w:r>
            <w:bookmarkStart w:id="143" w:name="xdx_409_eus-gaap--StockIssuedDuringPerio"/>
            <w:bookmarkEnd w:id="143"/>
          </w:p>
        </w:tc>
      </w:tr>
      <w:tr>
        <w:trPr/>
        <w:tc>
          <w:tcPr>
            <w:tcW w:w="1340" w:type="dxa"/>
            <w:tcBorders/>
            <w:shd w:fill="FFFFFF" w:val="clear"/>
            <w:vAlign w:val="center"/>
          </w:tcPr>
          <w:p>
            <w:pPr>
              <w:pStyle w:val="TableContents"/>
              <w:bidi w:val="0"/>
              <w:spacing w:before="0" w:after="283"/>
              <w:jc w:val="left"/>
              <w:rPr/>
            </w:pPr>
            <w:r>
              <w:rPr/>
              <w:t>Issuance of share capital for warrant exercises,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4" w:name="xdx_980_eus-gaap--StockIssuedDuringPerio"/>
            <w:bookmarkEnd w:id="144"/>
          </w:p>
        </w:tc>
        <w:tc>
          <w:tcPr>
            <w:tcW w:w="1640" w:type="dxa"/>
            <w:tcBorders/>
            <w:shd w:fill="FFFFFF" w:val="clear"/>
            <w:vAlign w:val="center"/>
          </w:tcPr>
          <w:p>
            <w:pPr>
              <w:pStyle w:val="TableContents"/>
              <w:bidi w:val="0"/>
              <w:spacing w:before="0" w:after="283"/>
              <w:jc w:val="right"/>
              <w:rPr/>
            </w:pPr>
            <w:r>
              <w:rPr/>
              <w:t>27,337,840,000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3,035</w:t>
            </w:r>
          </w:p>
        </w:tc>
        <w:tc>
          <w:tcPr>
            <w:tcW w:w="110" w:type="dxa"/>
            <w:tcBorders/>
            <w:shd w:fill="FFFFFF" w:val="clear"/>
            <w:vAlign w:val="center"/>
          </w:tcPr>
          <w:p>
            <w:pPr>
              <w:pStyle w:val="TableContents"/>
              <w:bidi w:val="0"/>
              <w:spacing w:before="0" w:after="283"/>
              <w:jc w:val="left"/>
              <w:rPr/>
            </w:pPr>
            <w:r>
              <w:rPr/>
              <w:t> </w:t>
            </w:r>
            <w:bookmarkStart w:id="145" w:name="xdx_40E_eus-gaap--AdjustmentsToAdditiona"/>
            <w:bookmarkEnd w:id="145"/>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711</w:t>
            </w:r>
          </w:p>
        </w:tc>
        <w:tc>
          <w:tcPr>
            <w:tcW w:w="110" w:type="dxa"/>
            <w:tcBorders/>
            <w:shd w:fill="CCEEFF" w:val="clear"/>
            <w:vAlign w:val="center"/>
          </w:tcPr>
          <w:p>
            <w:pPr>
              <w:pStyle w:val="TableContents"/>
              <w:bidi w:val="0"/>
              <w:spacing w:before="0" w:after="283"/>
              <w:jc w:val="left"/>
              <w:rPr/>
            </w:pPr>
            <w:r>
              <w:rPr/>
              <w:t> </w:t>
            </w:r>
            <w:bookmarkStart w:id="146" w:name="xdx_40D_eus-gaap--OtherComprehensiveInco"/>
            <w:bookmarkEnd w:id="146"/>
          </w:p>
        </w:tc>
      </w:tr>
      <w:tr>
        <w:trPr/>
        <w:tc>
          <w:tcPr>
            <w:tcW w:w="134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 </w:t>
            </w:r>
            <w:bookmarkStart w:id="147" w:name="xdx_401_eus-gaap--NetIncomeLoss_pn3n3_zd"/>
            <w:bookmarkEnd w:id="147"/>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(4,807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(4,807</w:t>
            </w:r>
          </w:p>
        </w:tc>
        <w:tc>
          <w:tcPr>
            <w:tcW w:w="110" w:type="dxa"/>
            <w:tcBorders/>
            <w:shd w:fill="CCEEFF" w:val="clear"/>
            <w:vAlign w:val="center"/>
          </w:tcPr>
          <w:p>
            <w:pPr>
              <w:pStyle w:val="TableContents"/>
              <w:bidi w:val="0"/>
              <w:spacing w:before="0" w:after="283"/>
              <w:jc w:val="left"/>
              <w:rPr/>
            </w:pPr>
            <w:r>
              <w:rPr/>
              <w:t>)</w:t>
            </w:r>
            <w:bookmarkStart w:id="148" w:name="xdx_43F_c20260401__20260630_eus-gaap--St"/>
            <w:bookmarkEnd w:id="148"/>
          </w:p>
        </w:tc>
      </w:tr>
      <w:tr>
        <w:trPr/>
        <w:tc>
          <w:tcPr>
            <w:tcW w:w="1340" w:type="dxa"/>
            <w:tcBorders/>
            <w:shd w:fill="FFFF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9" w:name="xdx_984_eus-gaap--SharesOutstanding_iE_p"/>
            <w:bookmarkEnd w:id="149"/>
          </w:p>
        </w:tc>
        <w:tc>
          <w:tcPr>
            <w:tcW w:w="164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140,032,769,533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243,759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59,342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(695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(283,812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18,595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1455" w:type="dxa"/>
        <w:jc w:val="left"/>
        <w:tblInd w:w="0" w:type="dxa"/>
        <w:tblLayout w:type="fixed"/>
        <w:tblCellMar>
          <w:top w:w="0" w:type="dxa"/>
          <w:left w:w="0" w:type="dxa"/>
          <w:bottom w:w="0" w:type="dxa"/>
          <w:right w:w="0" w:type="dxa"/>
        </w:tblCellMar>
      </w:tblPr>
      <w:tblGrid>
        <w:gridCol w:w="1340"/>
        <w:gridCol w:w="60"/>
        <w:gridCol w:w="60"/>
        <w:gridCol w:w="1520"/>
        <w:gridCol w:w="60"/>
        <w:gridCol w:w="60"/>
        <w:gridCol w:w="172"/>
        <w:gridCol w:w="688"/>
        <w:gridCol w:w="60"/>
        <w:gridCol w:w="60"/>
        <w:gridCol w:w="163"/>
        <w:gridCol w:w="937"/>
        <w:gridCol w:w="60"/>
        <w:gridCol w:w="60"/>
        <w:gridCol w:w="215"/>
        <w:gridCol w:w="1050"/>
        <w:gridCol w:w="60"/>
        <w:gridCol w:w="60"/>
        <w:gridCol w:w="290"/>
        <w:gridCol w:w="1320"/>
        <w:gridCol w:w="95"/>
        <w:gridCol w:w="60"/>
        <w:gridCol w:w="188"/>
        <w:gridCol w:w="1182"/>
        <w:gridCol w:w="95"/>
        <w:gridCol w:w="60"/>
        <w:gridCol w:w="233"/>
        <w:gridCol w:w="1137"/>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5"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Redemption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Shareholders’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50" w:name="xdx_438_c20250101__20250331_eus-gaap--St"/>
            <w:bookmarkEnd w:id="150"/>
          </w:p>
        </w:tc>
      </w:tr>
      <w:tr>
        <w:trPr/>
        <w:tc>
          <w:tcPr>
            <w:tcW w:w="134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1" w:name="xdx_98A_eus-gaap--SharesOutstanding_iS_p"/>
            <w:bookmarkEnd w:id="151"/>
          </w:p>
        </w:tc>
        <w:tc>
          <w:tcPr>
            <w:tcW w:w="1520" w:type="dxa"/>
            <w:tcBorders/>
            <w:shd w:fill="CCEEFF" w:val="clear"/>
            <w:vAlign w:val="center"/>
          </w:tcPr>
          <w:p>
            <w:pPr>
              <w:pStyle w:val="TableContents"/>
              <w:bidi w:val="0"/>
              <w:spacing w:before="0" w:after="283"/>
              <w:jc w:val="right"/>
              <w:rPr>
                <w:b/>
              </w:rPr>
            </w:pPr>
            <w:r>
              <w:rPr>
                <w:b/>
              </w:rPr>
              <w:t>53,186,919,523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5,319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212,706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1050" w:type="dxa"/>
            <w:tcBorders/>
            <w:shd w:fill="CCEEFF" w:val="clear"/>
            <w:vAlign w:val="center"/>
          </w:tcPr>
          <w:p>
            <w:pPr>
              <w:pStyle w:val="TableContents"/>
              <w:bidi w:val="0"/>
              <w:spacing w:before="0" w:after="283"/>
              <w:jc w:val="right"/>
              <w:rPr>
                <w:b/>
              </w:rPr>
            </w:pPr>
            <w:r>
              <w:rPr>
                <w:b/>
              </w:rPr>
              <w:t>52,194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(738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(247,252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b/>
              </w:rPr>
            </w:pPr>
            <w:r>
              <w:rPr>
                <w:b/>
              </w:rPr>
              <w:t>$</w:t>
            </w:r>
          </w:p>
        </w:tc>
        <w:tc>
          <w:tcPr>
            <w:tcW w:w="1137" w:type="dxa"/>
            <w:tcBorders/>
            <w:shd w:fill="CCEEFF" w:val="clear"/>
            <w:vAlign w:val="center"/>
          </w:tcPr>
          <w:p>
            <w:pPr>
              <w:pStyle w:val="TableContents"/>
              <w:bidi w:val="0"/>
              <w:spacing w:before="0" w:after="283"/>
              <w:jc w:val="right"/>
              <w:rPr>
                <w:b/>
              </w:rPr>
            </w:pPr>
            <w:r>
              <w:rPr>
                <w:b/>
              </w:rPr>
              <w:t>22,229</w:t>
            </w:r>
          </w:p>
        </w:tc>
        <w:tc>
          <w:tcPr>
            <w:tcW w:w="110" w:type="dxa"/>
            <w:tcBorders/>
            <w:shd w:fill="CCEEFF" w:val="clear"/>
            <w:vAlign w:val="center"/>
          </w:tcPr>
          <w:p>
            <w:pPr>
              <w:pStyle w:val="TableContents"/>
              <w:bidi w:val="0"/>
              <w:spacing w:before="0" w:after="283"/>
              <w:jc w:val="left"/>
              <w:rPr/>
            </w:pPr>
            <w:r>
              <w:rPr/>
              <w:t> </w:t>
            </w:r>
            <w:bookmarkStart w:id="152" w:name="xdx_40E_eus-gaap--StockIssuedDuringPerio"/>
            <w:bookmarkEnd w:id="152"/>
          </w:p>
        </w:tc>
      </w:tr>
      <w:tr>
        <w:trPr/>
        <w:tc>
          <w:tcPr>
            <w:tcW w:w="1340" w:type="dxa"/>
            <w:tcBorders/>
            <w:shd w:fill="FFFFFF" w:val="clear"/>
            <w:vAlign w:val="center"/>
          </w:tcPr>
          <w:p>
            <w:pPr>
              <w:pStyle w:val="TableContents"/>
              <w:bidi w:val="0"/>
              <w:spacing w:before="0" w:after="283"/>
              <w:jc w:val="left"/>
              <w:rPr/>
            </w:pPr>
            <w:r>
              <w:rPr/>
              <w:t xml:space="preserve">Issuance of share capital related to </w:t>
              <w:br/>
              <w:t>financing,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3" w:name="xdx_984_eus-gaap--StockIssuedDuringPerio"/>
            <w:bookmarkEnd w:id="153"/>
          </w:p>
        </w:tc>
        <w:tc>
          <w:tcPr>
            <w:tcW w:w="1520" w:type="dxa"/>
            <w:tcBorders/>
            <w:shd w:fill="FFFFFF" w:val="clear"/>
            <w:vAlign w:val="center"/>
          </w:tcPr>
          <w:p>
            <w:pPr>
              <w:pStyle w:val="TableContents"/>
              <w:bidi w:val="0"/>
              <w:spacing w:before="0" w:after="283"/>
              <w:jc w:val="right"/>
              <w:rPr/>
            </w:pPr>
            <w:r>
              <w:rPr/>
              <w:t>4,566,062,000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2,242</w:t>
            </w:r>
          </w:p>
        </w:tc>
        <w:tc>
          <w:tcPr>
            <w:tcW w:w="110" w:type="dxa"/>
            <w:tcBorders/>
            <w:shd w:fill="FFFFFF" w:val="clear"/>
            <w:vAlign w:val="center"/>
          </w:tcPr>
          <w:p>
            <w:pPr>
              <w:pStyle w:val="TableContents"/>
              <w:bidi w:val="0"/>
              <w:spacing w:before="0" w:after="283"/>
              <w:jc w:val="left"/>
              <w:rPr/>
            </w:pPr>
            <w:r>
              <w:rPr/>
              <w:t> </w:t>
            </w:r>
            <w:bookmarkStart w:id="154" w:name="xdx_40A_eus-gaap--AdjustmentsToAdditiona"/>
            <w:bookmarkEnd w:id="154"/>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1,015</w:t>
            </w:r>
          </w:p>
        </w:tc>
        <w:tc>
          <w:tcPr>
            <w:tcW w:w="110" w:type="dxa"/>
            <w:tcBorders/>
            <w:shd w:fill="CCEEFF" w:val="clear"/>
            <w:vAlign w:val="center"/>
          </w:tcPr>
          <w:p>
            <w:pPr>
              <w:pStyle w:val="TableContents"/>
              <w:bidi w:val="0"/>
              <w:spacing w:before="0" w:after="283"/>
              <w:jc w:val="left"/>
              <w:rPr/>
            </w:pPr>
            <w:r>
              <w:rPr/>
              <w:t> </w:t>
            </w:r>
            <w:bookmarkStart w:id="155" w:name="xdx_40B_eus-gaap--OtherComprehensiveInco"/>
            <w:bookmarkEnd w:id="155"/>
          </w:p>
        </w:tc>
      </w:tr>
      <w:tr>
        <w:trPr/>
        <w:tc>
          <w:tcPr>
            <w:tcW w:w="134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(35</w:t>
            </w:r>
          </w:p>
        </w:tc>
        <w:tc>
          <w:tcPr>
            <w:tcW w:w="110" w:type="dxa"/>
            <w:tcBorders/>
            <w:shd w:fill="FFFFFF" w:val="clear"/>
            <w:vAlign w:val="center"/>
          </w:tcPr>
          <w:p>
            <w:pPr>
              <w:pStyle w:val="TableContents"/>
              <w:bidi w:val="0"/>
              <w:spacing w:before="0" w:after="283"/>
              <w:jc w:val="left"/>
              <w:rPr/>
            </w:pPr>
            <w:r>
              <w:rPr/>
              <w:t>)</w:t>
            </w:r>
            <w:bookmarkStart w:id="156" w:name="xdx_403_eus-gaap--NetIncomeLoss_pn3n3_z6"/>
            <w:bookmarkEnd w:id="156"/>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(3,705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pPr>
            <w:r>
              <w:rPr/>
              <w:t>(3,705</w:t>
            </w:r>
          </w:p>
        </w:tc>
        <w:tc>
          <w:tcPr>
            <w:tcW w:w="110" w:type="dxa"/>
            <w:tcBorders/>
            <w:shd w:fill="CCEEFF" w:val="clear"/>
            <w:vAlign w:val="center"/>
          </w:tcPr>
          <w:p>
            <w:pPr>
              <w:pStyle w:val="TableContents"/>
              <w:bidi w:val="0"/>
              <w:spacing w:before="0" w:after="283"/>
              <w:jc w:val="left"/>
              <w:rPr/>
            </w:pPr>
            <w:r>
              <w:rPr/>
              <w:t>)</w:t>
            </w:r>
            <w:bookmarkStart w:id="157" w:name="xdx_430_c20250401__20250630_eus-gaap--St"/>
            <w:bookmarkEnd w:id="157"/>
          </w:p>
        </w:tc>
      </w:tr>
      <w:tr>
        <w:trPr/>
        <w:tc>
          <w:tcPr>
            <w:tcW w:w="1340" w:type="dxa"/>
            <w:tcBorders/>
            <w:shd w:fill="FFFFFF" w:val="clear"/>
            <w:vAlign w:val="center"/>
          </w:tcPr>
          <w:p>
            <w:pPr>
              <w:pStyle w:val="TableContents"/>
              <w:bidi w:val="0"/>
              <w:spacing w:before="0" w:after="283"/>
              <w:jc w:val="left"/>
              <w:rPr>
                <w:b/>
              </w:rPr>
            </w:pPr>
            <w:r>
              <w:rPr>
                <w:b/>
              </w:rPr>
              <w:t>Balance,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8" w:name="xdx_98A_eus-gaap--SharesOutstanding_iS_p"/>
            <w:bookmarkEnd w:id="158"/>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57,752,981,523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215,506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(250,957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21,746</w:t>
            </w:r>
          </w:p>
        </w:tc>
        <w:tc>
          <w:tcPr>
            <w:tcW w:w="110" w:type="dxa"/>
            <w:tcBorders/>
            <w:shd w:fill="FFFFFF" w:val="clear"/>
            <w:vAlign w:val="center"/>
          </w:tcPr>
          <w:p>
            <w:pPr>
              <w:pStyle w:val="TableContents"/>
              <w:bidi w:val="0"/>
              <w:spacing w:before="0" w:after="283"/>
              <w:jc w:val="left"/>
              <w:rPr/>
            </w:pPr>
            <w:r>
              <w:rPr/>
              <w:t> </w:t>
            </w:r>
            <w:bookmarkStart w:id="159" w:name="xdx_432_c20250401__20250630_eus-gaap--St"/>
            <w:bookmarkEnd w:id="159"/>
          </w:p>
        </w:tc>
      </w:tr>
      <w:tr>
        <w:trPr/>
        <w:tc>
          <w:tcPr>
            <w:tcW w:w="134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0" w:name="xdx_984_eus-gaap--SharesOutstanding_iS_p"/>
            <w:bookmarkEnd w:id="160"/>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57,752,981,523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215,506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(250,957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21,746</w:t>
            </w:r>
          </w:p>
        </w:tc>
        <w:tc>
          <w:tcPr>
            <w:tcW w:w="110" w:type="dxa"/>
            <w:tcBorders/>
            <w:shd w:fill="FFFFFF" w:val="clear"/>
            <w:vAlign w:val="center"/>
          </w:tcPr>
          <w:p>
            <w:pPr>
              <w:pStyle w:val="TableContents"/>
              <w:bidi w:val="0"/>
              <w:spacing w:before="0" w:after="283"/>
              <w:jc w:val="left"/>
              <w:rPr/>
            </w:pPr>
            <w:r>
              <w:rPr/>
              <w:t> </w:t>
            </w:r>
            <w:bookmarkStart w:id="161" w:name="xdx_408_eus-gaap--StockIssuedDuringPerio"/>
            <w:bookmarkEnd w:id="161"/>
          </w:p>
        </w:tc>
      </w:tr>
      <w:tr>
        <w:trPr/>
        <w:tc>
          <w:tcPr>
            <w:tcW w:w="1340" w:type="dxa"/>
            <w:tcBorders/>
            <w:shd w:fill="CCEEFF" w:val="clear"/>
            <w:vAlign w:val="center"/>
          </w:tcPr>
          <w:p>
            <w:pPr>
              <w:pStyle w:val="TableContents"/>
              <w:bidi w:val="0"/>
              <w:spacing w:before="0" w:after="283"/>
              <w:jc w:val="left"/>
              <w:rPr/>
            </w:pPr>
            <w:r>
              <w:rPr/>
              <w:t xml:space="preserve">Issuance of share capital related to </w:t>
              <w:br/>
              <w:t>financing,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 w:name="xdx_988_eus-gaap--StockIssuedDuringPerio"/>
            <w:bookmarkEnd w:id="162"/>
          </w:p>
        </w:tc>
        <w:tc>
          <w:tcPr>
            <w:tcW w:w="1520" w:type="dxa"/>
            <w:tcBorders/>
            <w:shd w:fill="CCEEFF" w:val="clear"/>
            <w:vAlign w:val="center"/>
          </w:tcPr>
          <w:p>
            <w:pPr>
              <w:pStyle w:val="TableContents"/>
              <w:bidi w:val="0"/>
              <w:spacing w:before="0" w:after="283"/>
              <w:jc w:val="right"/>
              <w:rPr/>
            </w:pPr>
            <w:r>
              <w:rPr/>
              <w:t>5,753,878,000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4,404</w:t>
            </w:r>
          </w:p>
        </w:tc>
        <w:tc>
          <w:tcPr>
            <w:tcW w:w="110" w:type="dxa"/>
            <w:tcBorders/>
            <w:shd w:fill="CCEEFF" w:val="clear"/>
            <w:vAlign w:val="center"/>
          </w:tcPr>
          <w:p>
            <w:pPr>
              <w:pStyle w:val="TableContents"/>
              <w:bidi w:val="0"/>
              <w:spacing w:before="0" w:after="283"/>
              <w:jc w:val="left"/>
              <w:rPr/>
            </w:pPr>
            <w:r>
              <w:rPr/>
              <w:t> </w:t>
            </w:r>
            <w:bookmarkStart w:id="163" w:name="xdx_403_eus-gaap--StockIssuedDuringPerio"/>
            <w:bookmarkEnd w:id="163"/>
          </w:p>
        </w:tc>
      </w:tr>
      <w:tr>
        <w:trPr/>
        <w:tc>
          <w:tcPr>
            <w:tcW w:w="1340" w:type="dxa"/>
            <w:tcBorders/>
            <w:shd w:fill="FFFFFF" w:val="clear"/>
            <w:vAlign w:val="center"/>
          </w:tcPr>
          <w:p>
            <w:pPr>
              <w:pStyle w:val="TableContents"/>
              <w:bidi w:val="0"/>
              <w:spacing w:before="0" w:after="283"/>
              <w:jc w:val="left"/>
              <w:rPr/>
            </w:pPr>
            <w:r>
              <w:rPr/>
              <w:t>Issuance of share capital on conversion of convertible notes,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 w:name="xdx_987_eus-gaap--StockIssuedDuringPerio"/>
            <w:bookmarkEnd w:id="164"/>
          </w:p>
        </w:tc>
        <w:tc>
          <w:tcPr>
            <w:tcW w:w="1520" w:type="dxa"/>
            <w:tcBorders/>
            <w:shd w:fill="FFFFFF" w:val="clear"/>
            <w:vAlign w:val="center"/>
          </w:tcPr>
          <w:p>
            <w:pPr>
              <w:pStyle w:val="TableContents"/>
              <w:bidi w:val="0"/>
              <w:spacing w:before="0" w:after="283"/>
              <w:jc w:val="right"/>
              <w:rPr/>
            </w:pPr>
            <w:r>
              <w:rPr/>
              <w:t>387,880,000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309</w:t>
            </w:r>
          </w:p>
        </w:tc>
        <w:tc>
          <w:tcPr>
            <w:tcW w:w="110" w:type="dxa"/>
            <w:tcBorders/>
            <w:shd w:fill="FFFFFF" w:val="clear"/>
            <w:vAlign w:val="center"/>
          </w:tcPr>
          <w:p>
            <w:pPr>
              <w:pStyle w:val="TableContents"/>
              <w:bidi w:val="0"/>
              <w:spacing w:before="0" w:after="283"/>
              <w:jc w:val="left"/>
              <w:rPr/>
            </w:pPr>
            <w:r>
              <w:rPr/>
              <w:t> </w:t>
            </w:r>
            <w:bookmarkStart w:id="165" w:name="xdx_40A_eus-gaap--StockIssuedDuringPerio"/>
            <w:bookmarkEnd w:id="165"/>
          </w:p>
        </w:tc>
      </w:tr>
      <w:tr>
        <w:trPr/>
        <w:tc>
          <w:tcPr>
            <w:tcW w:w="1340" w:type="dxa"/>
            <w:tcBorders/>
            <w:shd w:fill="CCEEFF" w:val="clear"/>
            <w:vAlign w:val="center"/>
          </w:tcPr>
          <w:p>
            <w:pPr>
              <w:pStyle w:val="TableContents"/>
              <w:bidi w:val="0"/>
              <w:spacing w:before="0" w:after="283"/>
              <w:jc w:val="left"/>
              <w:rPr/>
            </w:pPr>
            <w:r>
              <w:rPr/>
              <w:t>Issuance of share capital for payments in kind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E_eus-gaap--StockIssuedDuringPerio"/>
            <w:bookmarkEnd w:id="166"/>
          </w:p>
        </w:tc>
        <w:tc>
          <w:tcPr>
            <w:tcW w:w="1520" w:type="dxa"/>
            <w:tcBorders/>
            <w:shd w:fill="CCEEFF" w:val="clear"/>
            <w:vAlign w:val="center"/>
          </w:tcPr>
          <w:p>
            <w:pPr>
              <w:pStyle w:val="TableContents"/>
              <w:bidi w:val="0"/>
              <w:spacing w:before="0" w:after="283"/>
              <w:jc w:val="right"/>
              <w:rPr/>
            </w:pPr>
            <w:r>
              <w:rPr/>
              <w:t>1,002,900,000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622</w:t>
            </w:r>
          </w:p>
        </w:tc>
        <w:tc>
          <w:tcPr>
            <w:tcW w:w="110" w:type="dxa"/>
            <w:tcBorders/>
            <w:shd w:fill="CCEEFF" w:val="clear"/>
            <w:vAlign w:val="center"/>
          </w:tcPr>
          <w:p>
            <w:pPr>
              <w:pStyle w:val="TableContents"/>
              <w:bidi w:val="0"/>
              <w:spacing w:before="0" w:after="283"/>
              <w:jc w:val="left"/>
              <w:rPr/>
            </w:pPr>
            <w:r>
              <w:rPr/>
              <w:t> </w:t>
            </w:r>
            <w:bookmarkStart w:id="167" w:name="xdx_408_eus-gaap--StockIssuedDuringPerio"/>
            <w:bookmarkEnd w:id="167"/>
          </w:p>
        </w:tc>
      </w:tr>
      <w:tr>
        <w:trPr/>
        <w:tc>
          <w:tcPr>
            <w:tcW w:w="1340" w:type="dxa"/>
            <w:tcBorders/>
            <w:shd w:fill="FFFFFF" w:val="clear"/>
            <w:vAlign w:val="center"/>
          </w:tcPr>
          <w:p>
            <w:pPr>
              <w:pStyle w:val="TableContents"/>
              <w:bidi w:val="0"/>
              <w:spacing w:before="0" w:after="283"/>
              <w:jc w:val="left"/>
              <w:rPr/>
            </w:pPr>
            <w:r>
              <w:rPr/>
              <w:t>Vesting of restricted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 w:name="xdx_982_eus-gaap--StockIssuedDuringPerio"/>
            <w:bookmarkEnd w:id="168"/>
          </w:p>
        </w:tc>
        <w:tc>
          <w:tcPr>
            <w:tcW w:w="1520" w:type="dxa"/>
            <w:tcBorders/>
            <w:shd w:fill="FFFFFF" w:val="clear"/>
            <w:vAlign w:val="center"/>
          </w:tcPr>
          <w:p>
            <w:pPr>
              <w:pStyle w:val="TableContents"/>
              <w:bidi w:val="0"/>
              <w:spacing w:before="0" w:after="283"/>
              <w:jc w:val="right"/>
              <w:rPr/>
            </w:pPr>
            <w:r>
              <w:rPr/>
              <w:t>331,822,000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33</w:t>
            </w:r>
          </w:p>
        </w:tc>
        <w:tc>
          <w:tcPr>
            <w:tcW w:w="110" w:type="dxa"/>
            <w:tcBorders/>
            <w:shd w:fill="FFFFFF" w:val="clear"/>
            <w:vAlign w:val="center"/>
          </w:tcPr>
          <w:p>
            <w:pPr>
              <w:pStyle w:val="TableContents"/>
              <w:bidi w:val="0"/>
              <w:spacing w:before="0" w:after="283"/>
              <w:jc w:val="left"/>
              <w:rPr/>
            </w:pPr>
            <w:r>
              <w:rPr/>
              <w:t> </w:t>
            </w:r>
            <w:bookmarkStart w:id="169" w:name="xdx_405_eus-gaap--AdjustmentsToAdditiona"/>
            <w:bookmarkEnd w:id="169"/>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719</w:t>
            </w:r>
          </w:p>
        </w:tc>
        <w:tc>
          <w:tcPr>
            <w:tcW w:w="110" w:type="dxa"/>
            <w:tcBorders/>
            <w:shd w:fill="CCEEFF" w:val="clear"/>
            <w:vAlign w:val="center"/>
          </w:tcPr>
          <w:p>
            <w:pPr>
              <w:pStyle w:val="TableContents"/>
              <w:bidi w:val="0"/>
              <w:spacing w:before="0" w:after="283"/>
              <w:jc w:val="left"/>
              <w:rPr/>
            </w:pPr>
            <w:r>
              <w:rPr/>
              <w:t> </w:t>
            </w:r>
            <w:bookmarkStart w:id="170" w:name="xdx_403_eus-gaap--OtherComprehensiveInco"/>
            <w:bookmarkEnd w:id="170"/>
          </w:p>
        </w:tc>
      </w:tr>
      <w:tr>
        <w:trPr/>
        <w:tc>
          <w:tcPr>
            <w:tcW w:w="134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(333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(333</w:t>
            </w:r>
          </w:p>
        </w:tc>
        <w:tc>
          <w:tcPr>
            <w:tcW w:w="110" w:type="dxa"/>
            <w:tcBorders/>
            <w:shd w:fill="FFFFFF" w:val="clear"/>
            <w:vAlign w:val="center"/>
          </w:tcPr>
          <w:p>
            <w:pPr>
              <w:pStyle w:val="TableContents"/>
              <w:bidi w:val="0"/>
              <w:spacing w:before="0" w:after="283"/>
              <w:jc w:val="left"/>
              <w:rPr/>
            </w:pPr>
            <w:r>
              <w:rPr/>
              <w:t>)</w:t>
            </w:r>
            <w:bookmarkStart w:id="171" w:name="xdx_40A_eus-gaap--NetIncomeLoss_pn3n3_zQ"/>
            <w:bookmarkEnd w:id="171"/>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(1,895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pPr>
            <w:r>
              <w:rPr/>
              <w:t>(1,895</w:t>
            </w:r>
          </w:p>
        </w:tc>
        <w:tc>
          <w:tcPr>
            <w:tcW w:w="110" w:type="dxa"/>
            <w:tcBorders/>
            <w:shd w:fill="CCEEFF" w:val="clear"/>
            <w:vAlign w:val="center"/>
          </w:tcPr>
          <w:p>
            <w:pPr>
              <w:pStyle w:val="TableContents"/>
              <w:bidi w:val="0"/>
              <w:spacing w:before="0" w:after="283"/>
              <w:jc w:val="left"/>
              <w:rPr/>
            </w:pPr>
            <w:r>
              <w:rPr/>
              <w:t>)</w:t>
            </w:r>
            <w:bookmarkStart w:id="172" w:name="xdx_43B_c20250401__20250630_eus-gaap--St"/>
            <w:bookmarkEnd w:id="172"/>
          </w:p>
        </w:tc>
      </w:tr>
      <w:tr>
        <w:trPr/>
        <w:tc>
          <w:tcPr>
            <w:tcW w:w="1340" w:type="dxa"/>
            <w:tcBorders/>
            <w:shd w:fill="FFFFFF" w:val="clear"/>
            <w:vAlign w:val="center"/>
          </w:tcPr>
          <w:p>
            <w:pPr>
              <w:pStyle w:val="TableContents"/>
              <w:bidi w:val="0"/>
              <w:spacing w:before="0" w:after="283"/>
              <w:jc w:val="left"/>
              <w:rPr>
                <w:b/>
              </w:rPr>
            </w:pPr>
            <w:r>
              <w:rPr>
                <w:b/>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3" w:name="xdx_98F_eus-gaap--SharesOutstanding_iE_p"/>
            <w:bookmarkEnd w:id="173"/>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65,229,461,523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220,846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(1,106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(252,852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25,605</w:t>
            </w:r>
          </w:p>
        </w:tc>
        <w:tc>
          <w:tcPr>
            <w:tcW w:w="110" w:type="dxa"/>
            <w:tcBorders/>
            <w:shd w:fill="FFFFFF" w:val="clear"/>
            <w:vAlign w:val="center"/>
          </w:tcPr>
          <w:p>
            <w:pPr>
              <w:pStyle w:val="TableContents"/>
              <w:bidi w:val="0"/>
              <w:spacing w:before="0" w:after="283"/>
              <w:jc w:val="left"/>
              <w:rPr/>
            </w:pPr>
            <w:r>
              <w:rPr/>
              <w:t> </w:t>
            </w:r>
            <w:bookmarkStart w:id="174" w:name="xdx_437_c20250401__20250630_eus-gaap--St"/>
            <w:bookmarkEnd w:id="174"/>
          </w:p>
        </w:tc>
      </w:tr>
      <w:tr>
        <w:trPr/>
        <w:tc>
          <w:tcPr>
            <w:tcW w:w="134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5" w:name="xdx_98D_eus-gaap--SharesOutstanding_iE_p"/>
            <w:bookmarkEnd w:id="175"/>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65,229,461,523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220,846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(1,106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(252,852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25,605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6" w:name="ak_006"/>
      <w:bookmarkEnd w:id="176"/>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7" w:name="xdx_303_112_pn3n3_zFzGU81X9WJ8"/>
      <w:bookmarkStart w:id="178" w:name="xdx_303_112_pn3n3_zFzGU81X9WJ8"/>
      <w:bookmarkEnd w:id="178"/>
    </w:p>
    <w:tbl>
      <w:tblPr>
        <w:tblW w:w="9237" w:type="dxa"/>
        <w:jc w:val="left"/>
        <w:tblInd w:w="0" w:type="dxa"/>
        <w:tblLayout w:type="fixed"/>
        <w:tblCellMar>
          <w:top w:w="0" w:type="dxa"/>
          <w:left w:w="0" w:type="dxa"/>
          <w:bottom w:w="0" w:type="dxa"/>
          <w:right w:w="0" w:type="dxa"/>
        </w:tblCellMar>
      </w:tblPr>
      <w:tblGrid>
        <w:gridCol w:w="7160"/>
        <w:gridCol w:w="60"/>
        <w:gridCol w:w="146"/>
        <w:gridCol w:w="790"/>
        <w:gridCol w:w="99"/>
        <w:gridCol w:w="62"/>
        <w:gridCol w:w="146"/>
        <w:gridCol w:w="664"/>
        <w:gridCol w:w="11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9" w:name="xdx_49A_20260101__20260630_z3QHG4Ljm6Uh"/>
            <w:bookmarkEnd w:id="179"/>
          </w:p>
        </w:tc>
        <w:tc>
          <w:tcPr>
            <w:tcW w:w="9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180" w:name="xdx_497_20250101__20250630_zJnFGYwkEhsd"/>
            <w:bookmarkEnd w:id="180"/>
          </w:p>
        </w:tc>
        <w:tc>
          <w:tcPr>
            <w:tcW w:w="8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81" w:name="xdx_406_eus-gaap--NetCashProvidedByUsedI"/>
            <w:bookmarkEnd w:id="181"/>
          </w:p>
        </w:tc>
      </w:tr>
      <w:tr>
        <w:trPr/>
        <w:tc>
          <w:tcPr>
            <w:tcW w:w="716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2" w:name="xdx_40C_eus-gaap--NetIncomeLoss_i01_maNC"/>
            <w:bookmarkEnd w:id="182"/>
          </w:p>
        </w:tc>
      </w:tr>
      <w:tr>
        <w:trPr/>
        <w:tc>
          <w:tcPr>
            <w:tcW w:w="71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790" w:type="dxa"/>
            <w:tcBorders/>
            <w:shd w:fill="FFFFFF" w:val="clear"/>
            <w:vAlign w:val="center"/>
          </w:tcPr>
          <w:p>
            <w:pPr>
              <w:pStyle w:val="TableContents"/>
              <w:bidi w:val="0"/>
              <w:spacing w:before="0" w:after="283"/>
              <w:jc w:val="right"/>
              <w:rPr/>
            </w:pPr>
            <w:r>
              <w:rPr/>
              <w:t>(19,262</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664" w:type="dxa"/>
            <w:tcBorders/>
            <w:shd w:fill="FFFFFF" w:val="clear"/>
            <w:vAlign w:val="center"/>
          </w:tcPr>
          <w:p>
            <w:pPr>
              <w:pStyle w:val="TableContents"/>
              <w:bidi w:val="0"/>
              <w:spacing w:before="0" w:after="283"/>
              <w:jc w:val="right"/>
              <w:rPr/>
            </w:pPr>
            <w:r>
              <w:rPr/>
              <w:t>(5,600</w:t>
            </w:r>
          </w:p>
        </w:tc>
        <w:tc>
          <w:tcPr>
            <w:tcW w:w="110" w:type="dxa"/>
            <w:tcBorders/>
            <w:shd w:fill="FFFFFF" w:val="clear"/>
            <w:vAlign w:val="center"/>
          </w:tcPr>
          <w:p>
            <w:pPr>
              <w:pStyle w:val="TableContents"/>
              <w:bidi w:val="0"/>
              <w:spacing w:before="0" w:after="283"/>
              <w:jc w:val="left"/>
              <w:rPr/>
            </w:pPr>
            <w:r>
              <w:rPr/>
              <w:t>)</w:t>
            </w:r>
            <w:bookmarkStart w:id="183" w:name="xdx_402_eus-gaap--AdjustmentsNoncashItem"/>
            <w:bookmarkEnd w:id="183"/>
          </w:p>
        </w:tc>
      </w:tr>
      <w:tr>
        <w:trPr/>
        <w:tc>
          <w:tcPr>
            <w:tcW w:w="716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4" w:name="xdx_409_eus-gaap--ShareBasedCompensation"/>
            <w:bookmarkEnd w:id="184"/>
          </w:p>
        </w:tc>
      </w:tr>
      <w:tr>
        <w:trPr/>
        <w:tc>
          <w:tcPr>
            <w:tcW w:w="716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1,016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1,734</w:t>
            </w:r>
          </w:p>
        </w:tc>
        <w:tc>
          <w:tcPr>
            <w:tcW w:w="110" w:type="dxa"/>
            <w:tcBorders/>
            <w:shd w:fill="FFFFFF" w:val="clear"/>
            <w:vAlign w:val="center"/>
          </w:tcPr>
          <w:p>
            <w:pPr>
              <w:pStyle w:val="TableContents"/>
              <w:bidi w:val="0"/>
              <w:spacing w:before="0" w:after="283"/>
              <w:jc w:val="left"/>
              <w:rPr/>
            </w:pPr>
            <w:r>
              <w:rPr/>
              <w:t> </w:t>
            </w:r>
            <w:bookmarkStart w:id="185" w:name="xdx_406_ecustom--IssuanceOfShareCapitalF"/>
            <w:bookmarkEnd w:id="185"/>
          </w:p>
        </w:tc>
      </w:tr>
      <w:tr>
        <w:trPr/>
        <w:tc>
          <w:tcPr>
            <w:tcW w:w="7160" w:type="dxa"/>
            <w:tcBorders/>
            <w:shd w:fill="CCEEFF" w:val="clear"/>
            <w:vAlign w:val="center"/>
          </w:tcPr>
          <w:p>
            <w:pPr>
              <w:pStyle w:val="TableContents"/>
              <w:bidi w:val="0"/>
              <w:spacing w:before="0" w:after="283"/>
              <w:jc w:val="left"/>
              <w:rPr/>
            </w:pPr>
            <w:r>
              <w:rPr/>
              <w:t>Issuance of share capital for payments in kind</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27</w:t>
            </w:r>
          </w:p>
        </w:tc>
        <w:tc>
          <w:tcPr>
            <w:tcW w:w="110" w:type="dxa"/>
            <w:tcBorders/>
            <w:shd w:fill="CCEEFF" w:val="clear"/>
            <w:vAlign w:val="center"/>
          </w:tcPr>
          <w:p>
            <w:pPr>
              <w:pStyle w:val="TableContents"/>
              <w:bidi w:val="0"/>
              <w:spacing w:before="0" w:after="283"/>
              <w:jc w:val="left"/>
              <w:rPr/>
            </w:pPr>
            <w:r>
              <w:rPr/>
              <w:t> </w:t>
            </w:r>
            <w:bookmarkStart w:id="186" w:name="xdx_404_ecustom--AdjustmentsAccretionOfD"/>
            <w:bookmarkEnd w:id="186"/>
          </w:p>
        </w:tc>
      </w:tr>
      <w:tr>
        <w:trPr/>
        <w:tc>
          <w:tcPr>
            <w:tcW w:w="7160" w:type="dxa"/>
            <w:tcBorders/>
            <w:shd w:fill="FFFFFF" w:val="clear"/>
            <w:vAlign w:val="center"/>
          </w:tcPr>
          <w:p>
            <w:pPr>
              <w:pStyle w:val="TableContents"/>
              <w:bidi w:val="0"/>
              <w:spacing w:before="0" w:after="283"/>
              <w:jc w:val="left"/>
              <w:rPr/>
            </w:pPr>
            <w:r>
              <w:rPr/>
              <w:t>Accretion of debt issuance costs on convertible notes payable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20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87" w:name="xdx_406_ecustom--GainOnSettlementOfCurre"/>
            <w:bookmarkEnd w:id="187"/>
          </w:p>
        </w:tc>
      </w:tr>
      <w:tr>
        <w:trPr/>
        <w:tc>
          <w:tcPr>
            <w:tcW w:w="7160" w:type="dxa"/>
            <w:tcBorders/>
            <w:shd w:fill="CCEEFF" w:val="clear"/>
            <w:vAlign w:val="center"/>
          </w:tcPr>
          <w:p>
            <w:pPr>
              <w:pStyle w:val="TableContents"/>
              <w:bidi w:val="0"/>
              <w:spacing w:before="0" w:after="283"/>
              <w:jc w:val="left"/>
              <w:rPr/>
            </w:pPr>
            <w:r>
              <w:rPr/>
              <w:t>Gain on settlement of current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(167</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(1,244</w:t>
            </w:r>
          </w:p>
        </w:tc>
        <w:tc>
          <w:tcPr>
            <w:tcW w:w="110" w:type="dxa"/>
            <w:tcBorders/>
            <w:shd w:fill="CCEEFF" w:val="clear"/>
            <w:vAlign w:val="center"/>
          </w:tcPr>
          <w:p>
            <w:pPr>
              <w:pStyle w:val="TableContents"/>
              <w:bidi w:val="0"/>
              <w:spacing w:before="0" w:after="283"/>
              <w:jc w:val="left"/>
              <w:rPr/>
            </w:pPr>
            <w:r>
              <w:rPr/>
              <w:t>)</w:t>
            </w:r>
            <w:bookmarkStart w:id="188" w:name="xdx_401_eus-gaap--FairValueLiabilitiesMe"/>
            <w:bookmarkEnd w:id="188"/>
          </w:p>
        </w:tc>
      </w:tr>
      <w:tr>
        <w:trPr/>
        <w:tc>
          <w:tcPr>
            <w:tcW w:w="716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55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(80</w:t>
            </w:r>
          </w:p>
        </w:tc>
        <w:tc>
          <w:tcPr>
            <w:tcW w:w="110" w:type="dxa"/>
            <w:tcBorders/>
            <w:shd w:fill="FFFFFF" w:val="clear"/>
            <w:vAlign w:val="center"/>
          </w:tcPr>
          <w:p>
            <w:pPr>
              <w:pStyle w:val="TableContents"/>
              <w:bidi w:val="0"/>
              <w:spacing w:before="0" w:after="283"/>
              <w:jc w:val="left"/>
              <w:rPr/>
            </w:pPr>
            <w:r>
              <w:rPr/>
              <w:t>)</w:t>
            </w:r>
            <w:bookmarkStart w:id="189" w:name="xdx_40E_eus-gaap--ImpairmentOfIntangible"/>
            <w:bookmarkEnd w:id="189"/>
          </w:p>
        </w:tc>
      </w:tr>
      <w:tr>
        <w:trPr/>
        <w:tc>
          <w:tcPr>
            <w:tcW w:w="7160" w:type="dxa"/>
            <w:tcBorders/>
            <w:shd w:fill="CCEEFF" w:val="clear"/>
            <w:vAlign w:val="center"/>
          </w:tcPr>
          <w:p>
            <w:pPr>
              <w:pStyle w:val="TableContents"/>
              <w:bidi w:val="0"/>
              <w:spacing w:before="0" w:after="283"/>
              <w:jc w:val="left"/>
              <w:rPr/>
            </w:pPr>
            <w:r>
              <w:rPr/>
              <w:t>Impairment loss on other intangible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3,700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0" w:name="xdx_407_eus-gaap--GoodwillImpairmentLoss"/>
            <w:bookmarkEnd w:id="190"/>
          </w:p>
        </w:tc>
      </w:tr>
      <w:tr>
        <w:trPr/>
        <w:tc>
          <w:tcPr>
            <w:tcW w:w="7160" w:type="dxa"/>
            <w:tcBorders/>
            <w:shd w:fill="FFFFFF" w:val="clear"/>
            <w:vAlign w:val="center"/>
          </w:tcPr>
          <w:p>
            <w:pPr>
              <w:pStyle w:val="TableContents"/>
              <w:bidi w:val="0"/>
              <w:spacing w:before="0" w:after="283"/>
              <w:jc w:val="left"/>
              <w:rPr/>
            </w:pPr>
            <w:r>
              <w:rPr/>
              <w:t>Impairment loss on goodwill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8,430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1" w:name="xdx_40C_eus-gaap--GainLossOnDerivativeIn"/>
            <w:bookmarkEnd w:id="191"/>
          </w:p>
        </w:tc>
      </w:tr>
      <w:tr>
        <w:trPr/>
        <w:tc>
          <w:tcPr>
            <w:tcW w:w="716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(230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2" w:name="xdx_407_eus-gaap--DeferredIncomeTaxExpen"/>
            <w:bookmarkEnd w:id="192"/>
          </w:p>
        </w:tc>
      </w:tr>
      <w:tr>
        <w:trPr/>
        <w:tc>
          <w:tcPr>
            <w:tcW w:w="7160" w:type="dxa"/>
            <w:tcBorders/>
            <w:shd w:fill="FFFFFF" w:val="clear"/>
            <w:vAlign w:val="center"/>
          </w:tcPr>
          <w:p>
            <w:pPr>
              <w:pStyle w:val="TableContents"/>
              <w:bidi w:val="0"/>
              <w:spacing w:before="0" w:after="283"/>
              <w:jc w:val="left"/>
              <w:rPr/>
            </w:pPr>
            <w:r>
              <w:rPr/>
              <w:t>Deferred tax benefit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(859</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3" w:name="xdx_409_eus-gaap--ForeignCurrencyTransac"/>
            <w:bookmarkEnd w:id="193"/>
          </w:p>
        </w:tc>
      </w:tr>
      <w:tr>
        <w:trPr/>
        <w:tc>
          <w:tcPr>
            <w:tcW w:w="7160" w:type="dxa"/>
            <w:tcBorders/>
            <w:shd w:fill="CCEEFF" w:val="clear"/>
            <w:vAlign w:val="center"/>
          </w:tcPr>
          <w:p>
            <w:pPr>
              <w:pStyle w:val="TableContents"/>
              <w:bidi w:val="0"/>
              <w:spacing w:before="0" w:after="283"/>
              <w:jc w:val="left"/>
              <w:rPr/>
            </w:pPr>
            <w:r>
              <w:rPr/>
              <w:t>Unrealized foreign currency exchange gains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48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(394</w:t>
            </w:r>
          </w:p>
        </w:tc>
        <w:tc>
          <w:tcPr>
            <w:tcW w:w="110" w:type="dxa"/>
            <w:tcBorders/>
            <w:shd w:fill="CCEEFF" w:val="clear"/>
            <w:vAlign w:val="center"/>
          </w:tcPr>
          <w:p>
            <w:pPr>
              <w:pStyle w:val="TableContents"/>
              <w:bidi w:val="0"/>
              <w:spacing w:before="0" w:after="283"/>
              <w:jc w:val="left"/>
              <w:rPr/>
            </w:pPr>
            <w:r>
              <w:rPr/>
              <w:t>)</w:t>
            </w:r>
            <w:bookmarkStart w:id="194" w:name="xdx_405_eus-gaap--IncreaseDecreaseInOper"/>
            <w:bookmarkEnd w:id="194"/>
          </w:p>
        </w:tc>
      </w:tr>
      <w:tr>
        <w:trPr/>
        <w:tc>
          <w:tcPr>
            <w:tcW w:w="7160" w:type="dxa"/>
            <w:tcBorders/>
            <w:shd w:fill="FFFFFF" w:val="clear"/>
            <w:vAlign w:val="center"/>
          </w:tcPr>
          <w:p>
            <w:pPr>
              <w:pStyle w:val="TableContents"/>
              <w:bidi w:val="0"/>
              <w:spacing w:before="0" w:after="283"/>
              <w:jc w:val="left"/>
              <w:rPr/>
            </w:pPr>
            <w:r>
              <w:rPr/>
              <w:t>Change in assets and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5" w:name="xdx_408_eus-gaap--IncreaseDecreaseInPrep"/>
            <w:bookmarkEnd w:id="195"/>
          </w:p>
        </w:tc>
      </w:tr>
      <w:tr>
        <w:trPr/>
        <w:tc>
          <w:tcPr>
            <w:tcW w:w="716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98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263</w:t>
            </w:r>
          </w:p>
        </w:tc>
        <w:tc>
          <w:tcPr>
            <w:tcW w:w="110" w:type="dxa"/>
            <w:tcBorders/>
            <w:shd w:fill="CCEEFF" w:val="clear"/>
            <w:vAlign w:val="center"/>
          </w:tcPr>
          <w:p>
            <w:pPr>
              <w:pStyle w:val="TableContents"/>
              <w:bidi w:val="0"/>
              <w:spacing w:before="0" w:after="283"/>
              <w:jc w:val="left"/>
              <w:rPr/>
            </w:pPr>
            <w:r>
              <w:rPr/>
              <w:t> </w:t>
            </w:r>
            <w:bookmarkStart w:id="196" w:name="xdx_405_eus-gaap--IncreaseDecreaseInAcco"/>
            <w:bookmarkEnd w:id="196"/>
          </w:p>
        </w:tc>
      </w:tr>
      <w:tr>
        <w:trPr/>
        <w:tc>
          <w:tcPr>
            <w:tcW w:w="7160" w:type="dxa"/>
            <w:tcBorders/>
            <w:shd w:fill="FFFFFF" w:val="clear"/>
            <w:vAlign w:val="center"/>
          </w:tcPr>
          <w:p>
            <w:pPr>
              <w:pStyle w:val="TableContents"/>
              <w:bidi w:val="0"/>
              <w:spacing w:before="0" w:after="283"/>
              <w:jc w:val="left"/>
              <w:rPr/>
            </w:pPr>
            <w:r>
              <w:rPr/>
              <w:t>Accounts payable,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FFFFFF" w:val="clear"/>
            <w:tcMar>
              <w:bottom w:w="28" w:type="dxa"/>
            </w:tcMar>
            <w:vAlign w:val="center"/>
          </w:tcPr>
          <w:p>
            <w:pPr>
              <w:pStyle w:val="TableContents"/>
              <w:bidi w:val="0"/>
              <w:spacing w:before="0" w:after="283"/>
              <w:jc w:val="right"/>
              <w:rPr/>
            </w:pPr>
            <w:r>
              <w:rPr/>
              <w:t>1,554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pPr>
            <w:r>
              <w:rPr/>
              <w:t>(112</w:t>
            </w:r>
          </w:p>
        </w:tc>
        <w:tc>
          <w:tcPr>
            <w:tcW w:w="110" w:type="dxa"/>
            <w:tcBorders/>
            <w:shd w:fill="FFFFFF" w:val="clear"/>
            <w:vAlign w:val="center"/>
          </w:tcPr>
          <w:p>
            <w:pPr>
              <w:pStyle w:val="TableContents"/>
              <w:bidi w:val="0"/>
              <w:spacing w:before="0" w:after="283"/>
              <w:jc w:val="left"/>
              <w:rPr/>
            </w:pPr>
            <w:r>
              <w:rPr/>
              <w:t>)</w:t>
            </w:r>
            <w:bookmarkStart w:id="197" w:name="xdx_400_eus-gaap--NetCashProvidedByUsedI"/>
            <w:bookmarkEnd w:id="197"/>
          </w:p>
        </w:tc>
      </w:tr>
      <w:tr>
        <w:trPr/>
        <w:tc>
          <w:tcPr>
            <w:tcW w:w="716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pPr>
            <w:r>
              <w:rPr/>
              <w:t>(5,597</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pPr>
            <w:r>
              <w:rPr/>
              <w:t>(5,406</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8" w:name="xdx_40D_eus-gaap--NetCashProvidedByUsedI"/>
            <w:bookmarkEnd w:id="198"/>
          </w:p>
        </w:tc>
      </w:tr>
      <w:tr>
        <w:trPr/>
        <w:tc>
          <w:tcPr>
            <w:tcW w:w="716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9" w:name="xdx_406_ecustom--ProceedsFromIssuanceOfS"/>
            <w:bookmarkEnd w:id="199"/>
          </w:p>
        </w:tc>
      </w:tr>
      <w:tr>
        <w:trPr/>
        <w:tc>
          <w:tcPr>
            <w:tcW w:w="7160" w:type="dxa"/>
            <w:tcBorders/>
            <w:shd w:fill="FFFFFF" w:val="clear"/>
            <w:vAlign w:val="center"/>
          </w:tcPr>
          <w:p>
            <w:pPr>
              <w:pStyle w:val="TableContents"/>
              <w:bidi w:val="0"/>
              <w:spacing w:before="0" w:after="283"/>
              <w:jc w:val="left"/>
              <w:rPr/>
            </w:pPr>
            <w:r>
              <w:rPr/>
              <w:t>Proceeds from issuance of shares, net of issuance costs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8,426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5,879</w:t>
            </w:r>
          </w:p>
        </w:tc>
        <w:tc>
          <w:tcPr>
            <w:tcW w:w="110" w:type="dxa"/>
            <w:tcBorders/>
            <w:shd w:fill="FFFFFF" w:val="clear"/>
            <w:vAlign w:val="center"/>
          </w:tcPr>
          <w:p>
            <w:pPr>
              <w:pStyle w:val="TableContents"/>
              <w:bidi w:val="0"/>
              <w:spacing w:before="0" w:after="283"/>
              <w:jc w:val="left"/>
              <w:rPr/>
            </w:pPr>
            <w:r>
              <w:rPr/>
              <w:t> </w:t>
            </w:r>
            <w:bookmarkStart w:id="200" w:name="xdx_40A_eus-gaap--ProceedsFromOtherEquit"/>
            <w:bookmarkEnd w:id="200"/>
          </w:p>
        </w:tc>
      </w:tr>
      <w:tr>
        <w:trPr/>
        <w:tc>
          <w:tcPr>
            <w:tcW w:w="7160" w:type="dxa"/>
            <w:tcBorders/>
            <w:shd w:fill="CCEEFF" w:val="clear"/>
            <w:vAlign w:val="center"/>
          </w:tcPr>
          <w:p>
            <w:pPr>
              <w:pStyle w:val="TableContents"/>
              <w:bidi w:val="0"/>
              <w:spacing w:before="0" w:after="283"/>
              <w:jc w:val="left"/>
              <w:rPr/>
            </w:pPr>
            <w:r>
              <w:rPr/>
              <w:t>Proceeds from issuance of restricted shares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33</w:t>
            </w:r>
          </w:p>
        </w:tc>
        <w:tc>
          <w:tcPr>
            <w:tcW w:w="110" w:type="dxa"/>
            <w:tcBorders/>
            <w:shd w:fill="CCEEFF" w:val="clear"/>
            <w:vAlign w:val="center"/>
          </w:tcPr>
          <w:p>
            <w:pPr>
              <w:pStyle w:val="TableContents"/>
              <w:bidi w:val="0"/>
              <w:spacing w:before="0" w:after="283"/>
              <w:jc w:val="left"/>
              <w:rPr/>
            </w:pPr>
            <w:r>
              <w:rPr/>
              <w:t> </w:t>
            </w:r>
            <w:bookmarkStart w:id="201" w:name="xdx_400_eus-gaap--ProceedsFromWarrantExe"/>
            <w:bookmarkEnd w:id="201"/>
          </w:p>
        </w:tc>
      </w:tr>
      <w:tr>
        <w:trPr/>
        <w:tc>
          <w:tcPr>
            <w:tcW w:w="7160" w:type="dxa"/>
            <w:tcBorders/>
            <w:shd w:fill="FFFFFF" w:val="clear"/>
            <w:vAlign w:val="center"/>
          </w:tcPr>
          <w:p>
            <w:pPr>
              <w:pStyle w:val="TableContents"/>
              <w:bidi w:val="0"/>
              <w:spacing w:before="0" w:after="283"/>
              <w:jc w:val="left"/>
              <w:rPr/>
            </w:pPr>
            <w:r>
              <w:rPr/>
              <w:t>Proceeds from issuance of pre-funded warrants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330</w:t>
            </w:r>
          </w:p>
        </w:tc>
        <w:tc>
          <w:tcPr>
            <w:tcW w:w="110" w:type="dxa"/>
            <w:tcBorders/>
            <w:shd w:fill="FFFFFF" w:val="clear"/>
            <w:vAlign w:val="center"/>
          </w:tcPr>
          <w:p>
            <w:pPr>
              <w:pStyle w:val="TableContents"/>
              <w:bidi w:val="0"/>
              <w:spacing w:before="0" w:after="283"/>
              <w:jc w:val="left"/>
              <w:rPr/>
            </w:pPr>
            <w:r>
              <w:rPr/>
              <w:t> </w:t>
            </w:r>
            <w:bookmarkStart w:id="202" w:name="xdx_40D_eus-gaap--ProceedsFromRepayments"/>
            <w:bookmarkEnd w:id="202"/>
          </w:p>
        </w:tc>
      </w:tr>
      <w:tr>
        <w:trPr/>
        <w:tc>
          <w:tcPr>
            <w:tcW w:w="7160" w:type="dxa"/>
            <w:tcBorders/>
            <w:shd w:fill="CCEEFF" w:val="clear"/>
            <w:vAlign w:val="center"/>
          </w:tcPr>
          <w:p>
            <w:pPr>
              <w:pStyle w:val="TableContents"/>
              <w:bidi w:val="0"/>
              <w:spacing w:before="0" w:after="283"/>
              <w:jc w:val="left"/>
              <w:rPr/>
            </w:pPr>
            <w:r>
              <w:rPr/>
              <w:t>Repayments of notes payable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(81</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(455</w:t>
            </w:r>
          </w:p>
        </w:tc>
        <w:tc>
          <w:tcPr>
            <w:tcW w:w="110" w:type="dxa"/>
            <w:tcBorders/>
            <w:shd w:fill="CCEEFF" w:val="clear"/>
            <w:vAlign w:val="center"/>
          </w:tcPr>
          <w:p>
            <w:pPr>
              <w:pStyle w:val="TableContents"/>
              <w:bidi w:val="0"/>
              <w:spacing w:before="0" w:after="283"/>
              <w:jc w:val="left"/>
              <w:rPr/>
            </w:pPr>
            <w:r>
              <w:rPr/>
              <w:t>)</w:t>
            </w:r>
            <w:bookmarkStart w:id="203" w:name="xdx_40E_eus-gaap--RepaymentsOfShortTermD"/>
            <w:bookmarkEnd w:id="203"/>
          </w:p>
        </w:tc>
      </w:tr>
      <w:tr>
        <w:trPr/>
        <w:tc>
          <w:tcPr>
            <w:tcW w:w="7160" w:type="dxa"/>
            <w:tcBorders/>
            <w:shd w:fill="FFFFFF" w:val="clear"/>
            <w:vAlign w:val="center"/>
          </w:tcPr>
          <w:p>
            <w:pPr>
              <w:pStyle w:val="TableContents"/>
              <w:bidi w:val="0"/>
              <w:spacing w:before="0" w:after="283"/>
              <w:jc w:val="left"/>
              <w:rPr/>
            </w:pPr>
            <w:r>
              <w:rPr/>
              <w:t>Payments on short-term financing arrangement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FFFFFF" w:val="clear"/>
            <w:tcMar>
              <w:bottom w:w="28" w:type="dxa"/>
            </w:tcMar>
            <w:vAlign w:val="center"/>
          </w:tcPr>
          <w:p>
            <w:pPr>
              <w:pStyle w:val="TableContents"/>
              <w:bidi w:val="0"/>
              <w:spacing w:before="0" w:after="283"/>
              <w:jc w:val="right"/>
              <w:rPr/>
            </w:pPr>
            <w:r>
              <w:rPr/>
              <w:t>(257</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pPr>
            <w:r>
              <w:rPr/>
              <w:t>(273</w:t>
            </w:r>
          </w:p>
        </w:tc>
        <w:tc>
          <w:tcPr>
            <w:tcW w:w="110" w:type="dxa"/>
            <w:tcBorders/>
            <w:shd w:fill="FFFFFF" w:val="clear"/>
            <w:vAlign w:val="center"/>
          </w:tcPr>
          <w:p>
            <w:pPr>
              <w:pStyle w:val="TableContents"/>
              <w:bidi w:val="0"/>
              <w:spacing w:before="0" w:after="283"/>
              <w:jc w:val="left"/>
              <w:rPr/>
            </w:pPr>
            <w:r>
              <w:rPr/>
              <w:t>)</w:t>
            </w:r>
            <w:bookmarkStart w:id="204" w:name="xdx_40D_eus-gaap--NetCashProvidedByUsedI"/>
            <w:bookmarkEnd w:id="204"/>
          </w:p>
        </w:tc>
      </w:tr>
      <w:tr>
        <w:trPr/>
        <w:tc>
          <w:tcPr>
            <w:tcW w:w="716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pPr>
            <w:r>
              <w:rPr/>
              <w:t>8,088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pPr>
            <w:r>
              <w:rPr/>
              <w:t>5,514</w:t>
            </w:r>
          </w:p>
        </w:tc>
        <w:tc>
          <w:tcPr>
            <w:tcW w:w="110" w:type="dxa"/>
            <w:tcBorders/>
            <w:shd w:fill="CCEEFF" w:val="clear"/>
            <w:vAlign w:val="center"/>
          </w:tcPr>
          <w:p>
            <w:pPr>
              <w:pStyle w:val="TableContents"/>
              <w:bidi w:val="0"/>
              <w:spacing w:before="0" w:after="283"/>
              <w:jc w:val="left"/>
              <w:rPr/>
            </w:pPr>
            <w:r>
              <w:rPr/>
              <w:t> </w:t>
            </w:r>
            <w:bookmarkStart w:id="205" w:name="xdx_407_eus-gaap--EffectOfExchangeRateOn"/>
            <w:bookmarkEnd w:id="205"/>
          </w:p>
        </w:tc>
      </w:tr>
      <w:tr>
        <w:trPr/>
        <w:tc>
          <w:tcPr>
            <w:tcW w:w="7160" w:type="dxa"/>
            <w:tcBorders/>
            <w:shd w:fill="FFFFFF" w:val="clear"/>
            <w:vAlign w:val="center"/>
          </w:tcPr>
          <w:p>
            <w:pPr>
              <w:pStyle w:val="TableContents"/>
              <w:bidi w:val="0"/>
              <w:spacing w:before="0" w:after="283"/>
              <w:jc w:val="left"/>
              <w:rPr/>
            </w:pPr>
            <w:r>
              <w:rPr/>
              <w:t>Effect of exchange rates on cash</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 </w:t>
            </w:r>
            <w:bookmarkStart w:id="206" w:name="xdx_400_eus-gaap--CashCashEquivalentsRes"/>
            <w:bookmarkEnd w:id="206"/>
          </w:p>
        </w:tc>
      </w:tr>
      <w:tr>
        <w:trPr/>
        <w:tc>
          <w:tcPr>
            <w:tcW w:w="7160"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2,491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112</w:t>
            </w:r>
          </w:p>
        </w:tc>
        <w:tc>
          <w:tcPr>
            <w:tcW w:w="110" w:type="dxa"/>
            <w:tcBorders/>
            <w:shd w:fill="CCEEFF" w:val="clear"/>
            <w:vAlign w:val="center"/>
          </w:tcPr>
          <w:p>
            <w:pPr>
              <w:pStyle w:val="TableContents"/>
              <w:bidi w:val="0"/>
              <w:spacing w:before="0" w:after="283"/>
              <w:jc w:val="left"/>
              <w:rPr/>
            </w:pPr>
            <w:r>
              <w:rPr/>
              <w:t> </w:t>
            </w:r>
            <w:bookmarkStart w:id="207" w:name="xdx_40E_eus-gaap--CashCashEquivalentsRes"/>
            <w:bookmarkEnd w:id="207"/>
          </w:p>
        </w:tc>
      </w:tr>
      <w:tr>
        <w:trPr/>
        <w:tc>
          <w:tcPr>
            <w:tcW w:w="7160" w:type="dxa"/>
            <w:tcBorders/>
            <w:shd w:fill="FFFFFF" w:val="clear"/>
            <w:vAlign w:val="center"/>
          </w:tcPr>
          <w:p>
            <w:pPr>
              <w:pStyle w:val="TableContents"/>
              <w:bidi w:val="0"/>
              <w:spacing w:before="0" w:after="283"/>
              <w:jc w:val="left"/>
              <w:rPr/>
            </w:pPr>
            <w:r>
              <w:rPr/>
              <w:t>Cash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FFFFFF" w:val="clear"/>
            <w:tcMar>
              <w:bottom w:w="28" w:type="dxa"/>
            </w:tcMar>
            <w:vAlign w:val="center"/>
          </w:tcPr>
          <w:p>
            <w:pPr>
              <w:pStyle w:val="TableContents"/>
              <w:bidi w:val="0"/>
              <w:spacing w:before="0" w:after="283"/>
              <w:jc w:val="right"/>
              <w:rPr/>
            </w:pPr>
            <w:r>
              <w:rPr/>
              <w:t>5,263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pPr>
            <w:r>
              <w:rPr/>
              <w:t>2,659</w:t>
            </w:r>
          </w:p>
        </w:tc>
        <w:tc>
          <w:tcPr>
            <w:tcW w:w="110" w:type="dxa"/>
            <w:tcBorders/>
            <w:shd w:fill="FFFFFF" w:val="clear"/>
            <w:vAlign w:val="center"/>
          </w:tcPr>
          <w:p>
            <w:pPr>
              <w:pStyle w:val="TableContents"/>
              <w:bidi w:val="0"/>
              <w:spacing w:before="0" w:after="283"/>
              <w:jc w:val="left"/>
              <w:rPr/>
            </w:pPr>
            <w:r>
              <w:rPr/>
              <w:t> </w:t>
            </w:r>
            <w:bookmarkStart w:id="208" w:name="xdx_403_eus-gaap--CashCashEquivalentsRes"/>
            <w:bookmarkEnd w:id="208"/>
          </w:p>
        </w:tc>
      </w:tr>
      <w:tr>
        <w:trPr/>
        <w:tc>
          <w:tcPr>
            <w:tcW w:w="7160" w:type="dxa"/>
            <w:tcBorders/>
            <w:shd w:fill="CCEEFF" w:val="clear"/>
            <w:vAlign w:val="center"/>
          </w:tcPr>
          <w:p>
            <w:pPr>
              <w:pStyle w:val="TableContents"/>
              <w:bidi w:val="0"/>
              <w:spacing w:before="0" w:after="283"/>
              <w:jc w:val="left"/>
              <w:rPr/>
            </w:pPr>
            <w:r>
              <w:rPr/>
              <w:t>Cash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right"/>
              <w:rPr/>
            </w:pPr>
            <w:r>
              <w:rPr/>
              <w:t>7,754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2,771</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 w:name="xdx_40E_eus-gaap--RestrictedCashAndCashE"/>
            <w:bookmarkEnd w:id="209"/>
          </w:p>
        </w:tc>
      </w:tr>
      <w:tr>
        <w:trPr/>
        <w:tc>
          <w:tcPr>
            <w:tcW w:w="7160" w:type="dxa"/>
            <w:tcBorders/>
            <w:shd w:fill="CCEEFF" w:val="clear"/>
            <w:vAlign w:val="center"/>
          </w:tcPr>
          <w:p>
            <w:pPr>
              <w:pStyle w:val="TableContents"/>
              <w:bidi w:val="0"/>
              <w:spacing w:before="0" w:after="283"/>
              <w:jc w:val="left"/>
              <w:rPr>
                <w:b/>
              </w:rPr>
            </w:pPr>
            <w:r>
              <w:rPr>
                <w:b/>
              </w:rPr>
              <w:t>Components of cash and restricted cash</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0" w:name="xdx_406_eus-gaap--Cash_i01E_z2pLnUYc148b"/>
            <w:bookmarkEnd w:id="210"/>
          </w:p>
        </w:tc>
      </w:tr>
      <w:tr>
        <w:trPr/>
        <w:tc>
          <w:tcPr>
            <w:tcW w:w="716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790" w:type="dxa"/>
            <w:tcBorders/>
            <w:shd w:fill="FFFFFF" w:val="clear"/>
            <w:vAlign w:val="center"/>
          </w:tcPr>
          <w:p>
            <w:pPr>
              <w:pStyle w:val="TableContents"/>
              <w:bidi w:val="0"/>
              <w:spacing w:before="0" w:after="283"/>
              <w:jc w:val="right"/>
              <w:rPr/>
            </w:pPr>
            <w:r>
              <w:rPr/>
              <w:t>7,694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664" w:type="dxa"/>
            <w:tcBorders/>
            <w:shd w:fill="FFFFFF" w:val="clear"/>
            <w:vAlign w:val="center"/>
          </w:tcPr>
          <w:p>
            <w:pPr>
              <w:pStyle w:val="TableContents"/>
              <w:bidi w:val="0"/>
              <w:spacing w:before="0" w:after="283"/>
              <w:jc w:val="right"/>
              <w:rPr/>
            </w:pPr>
            <w:r>
              <w:rPr/>
              <w:t>2,711</w:t>
            </w:r>
          </w:p>
        </w:tc>
        <w:tc>
          <w:tcPr>
            <w:tcW w:w="110" w:type="dxa"/>
            <w:tcBorders/>
            <w:shd w:fill="FFFFFF" w:val="clear"/>
            <w:vAlign w:val="center"/>
          </w:tcPr>
          <w:p>
            <w:pPr>
              <w:pStyle w:val="TableContents"/>
              <w:bidi w:val="0"/>
              <w:spacing w:before="0" w:after="283"/>
              <w:jc w:val="left"/>
              <w:rPr/>
            </w:pPr>
            <w:r>
              <w:rPr/>
              <w:t> </w:t>
            </w:r>
            <w:bookmarkStart w:id="211" w:name="xdx_405_eus-gaap--RestrictedCash_i01E_zc"/>
            <w:bookmarkEnd w:id="211"/>
          </w:p>
        </w:tc>
      </w:tr>
      <w:tr>
        <w:trPr/>
        <w:tc>
          <w:tcPr>
            <w:tcW w:w="716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pPr>
            <w:r>
              <w:rPr/>
              <w:t>60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 </w:t>
            </w:r>
            <w:bookmarkStart w:id="212" w:name="xdx_401_eus-gaap--RestrictedCashAndCashE"/>
            <w:bookmarkEnd w:id="212"/>
          </w:p>
        </w:tc>
      </w:tr>
      <w:tr>
        <w:trPr/>
        <w:tc>
          <w:tcPr>
            <w:tcW w:w="7160" w:type="dxa"/>
            <w:tcBorders/>
            <w:shd w:fill="FFFFFF" w:val="clear"/>
            <w:vAlign w:val="center"/>
          </w:tcPr>
          <w:p>
            <w:pPr>
              <w:pStyle w:val="TableContents"/>
              <w:bidi w:val="0"/>
              <w:spacing w:before="0" w:after="283"/>
              <w:jc w:val="left"/>
              <w:rPr/>
            </w:pPr>
            <w:r>
              <w:rPr/>
              <w:t>Total cash and restricted cash</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jc w:val="right"/>
              <w:rPr/>
            </w:pPr>
            <w:r>
              <w:rPr/>
              <w:t>7,754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jc w:val="right"/>
              <w:rPr/>
            </w:pPr>
            <w:r>
              <w:rPr/>
              <w:t>2,771</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3" w:name="xdx_403_eus-gaap--NoncashInvestingAndFin"/>
            <w:bookmarkEnd w:id="213"/>
          </w:p>
        </w:tc>
      </w:tr>
      <w:tr>
        <w:trPr/>
        <w:tc>
          <w:tcPr>
            <w:tcW w:w="7160" w:type="dxa"/>
            <w:tcBorders/>
            <w:shd w:fill="FFFFFF" w:val="clear"/>
            <w:vAlign w:val="center"/>
          </w:tcPr>
          <w:p>
            <w:pPr>
              <w:pStyle w:val="TableContents"/>
              <w:bidi w:val="0"/>
              <w:spacing w:before="0" w:after="283"/>
              <w:jc w:val="left"/>
              <w:rPr>
                <w:b/>
              </w:rPr>
            </w:pPr>
            <w:r>
              <w:rPr>
                <w:b/>
              </w:rPr>
              <w:t>SUPPLEMENTAL DISCLOSURES OF NON-CASH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4" w:name="xdx_403_ecustom--FinancingCostsInAccrued"/>
            <w:bookmarkEnd w:id="214"/>
          </w:p>
        </w:tc>
      </w:tr>
      <w:tr>
        <w:trPr/>
        <w:tc>
          <w:tcPr>
            <w:tcW w:w="7160" w:type="dxa"/>
            <w:tcBorders/>
            <w:shd w:fill="CCEEFF" w:val="clear"/>
            <w:vAlign w:val="center"/>
          </w:tcPr>
          <w:p>
            <w:pPr>
              <w:pStyle w:val="TableContents"/>
              <w:bidi w:val="0"/>
              <w:spacing w:before="0" w:after="283"/>
              <w:jc w:val="left"/>
              <w:rPr/>
            </w:pPr>
            <w:r>
              <w:rPr/>
              <w:t>Financing costs in accrued expenses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233</w:t>
            </w:r>
          </w:p>
        </w:tc>
        <w:tc>
          <w:tcPr>
            <w:tcW w:w="110" w:type="dxa"/>
            <w:tcBorders/>
            <w:shd w:fill="CCEEFF" w:val="clear"/>
            <w:vAlign w:val="center"/>
          </w:tcPr>
          <w:p>
            <w:pPr>
              <w:pStyle w:val="TableContents"/>
              <w:bidi w:val="0"/>
              <w:spacing w:before="0" w:after="283"/>
              <w:jc w:val="left"/>
              <w:rPr/>
            </w:pPr>
            <w:r>
              <w:rPr/>
              <w:t> </w:t>
            </w:r>
            <w:bookmarkStart w:id="215" w:name="xdx_403_ecustom--IssuanceOfShareCapitalF"/>
            <w:bookmarkEnd w:id="215"/>
          </w:p>
        </w:tc>
      </w:tr>
      <w:tr>
        <w:trPr/>
        <w:tc>
          <w:tcPr>
            <w:tcW w:w="7160" w:type="dxa"/>
            <w:tcBorders/>
            <w:shd w:fill="FFFFFF" w:val="clear"/>
            <w:vAlign w:val="center"/>
          </w:tcPr>
          <w:p>
            <w:pPr>
              <w:pStyle w:val="TableContents"/>
              <w:bidi w:val="0"/>
              <w:spacing w:before="0" w:after="283"/>
              <w:jc w:val="left"/>
              <w:rPr/>
            </w:pPr>
            <w:r>
              <w:rPr/>
              <w:t>Issuance of share capital for settlement of convertible notes, related party</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jc w:val="right"/>
              <w:rPr/>
            </w:pPr>
            <w:r>
              <w:rPr/>
              <w:t>309</w:t>
            </w:r>
          </w:p>
        </w:tc>
        <w:tc>
          <w:tcPr>
            <w:tcW w:w="110" w:type="dxa"/>
            <w:tcBorders/>
            <w:shd w:fill="FFFFFF" w:val="clear"/>
            <w:vAlign w:val="center"/>
          </w:tcPr>
          <w:p>
            <w:pPr>
              <w:pStyle w:val="TableContents"/>
              <w:bidi w:val="0"/>
              <w:spacing w:before="0" w:after="283"/>
              <w:jc w:val="left"/>
              <w:rPr/>
            </w:pPr>
            <w:r>
              <w:rPr/>
              <w:t> </w:t>
            </w:r>
            <w:bookmarkStart w:id="216" w:name="xdx_402_ecustom--IssuanceOfShareCapitalF"/>
            <w:bookmarkEnd w:id="216"/>
          </w:p>
        </w:tc>
      </w:tr>
      <w:tr>
        <w:trPr/>
        <w:tc>
          <w:tcPr>
            <w:tcW w:w="7160" w:type="dxa"/>
            <w:tcBorders/>
            <w:shd w:fill="CCEEFF" w:val="clear"/>
            <w:vAlign w:val="center"/>
          </w:tcPr>
          <w:p>
            <w:pPr>
              <w:pStyle w:val="TableContents"/>
              <w:bidi w:val="0"/>
              <w:spacing w:before="0" w:after="283"/>
              <w:jc w:val="left"/>
              <w:rPr/>
            </w:pPr>
            <w:r>
              <w:rPr/>
              <w:t>Issuance of share capital for settlement of related party debt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bookmarkStart w:id="217" w:name="xdx_40E_ecustom--IssuanceOfShareCapitalF"/>
            <w:bookmarkEnd w:id="217"/>
          </w:p>
        </w:tc>
      </w:tr>
      <w:tr>
        <w:trPr/>
        <w:tc>
          <w:tcPr>
            <w:tcW w:w="7160" w:type="dxa"/>
            <w:tcBorders/>
            <w:shd w:fill="FFFFFF" w:val="clear"/>
            <w:vAlign w:val="center"/>
          </w:tcPr>
          <w:p>
            <w:pPr>
              <w:pStyle w:val="TableContents"/>
              <w:bidi w:val="0"/>
              <w:spacing w:before="0" w:after="283"/>
              <w:jc w:val="left"/>
              <w:rPr/>
            </w:pPr>
            <w:r>
              <w:rPr/>
              <w:t>Issuance of share capital for payments in kind</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jc w:val="right"/>
              <w:rPr/>
            </w:pPr>
            <w:r>
              <w:rPr/>
              <w:t>595</w:t>
            </w:r>
          </w:p>
        </w:tc>
        <w:tc>
          <w:tcPr>
            <w:tcW w:w="110" w:type="dxa"/>
            <w:tcBorders/>
            <w:shd w:fill="FFFFFF" w:val="clear"/>
            <w:vAlign w:val="center"/>
          </w:tcPr>
          <w:p>
            <w:pPr>
              <w:pStyle w:val="TableContents"/>
              <w:bidi w:val="0"/>
              <w:spacing w:before="0" w:after="283"/>
              <w:jc w:val="left"/>
              <w:rPr/>
            </w:pPr>
            <w:r>
              <w:rPr/>
              <w:t> </w:t>
            </w:r>
            <w:bookmarkStart w:id="218" w:name="xdx_402_ecustom--ShorttermFinancingArran"/>
            <w:bookmarkEnd w:id="218"/>
          </w:p>
        </w:tc>
      </w:tr>
      <w:tr>
        <w:trPr/>
        <w:tc>
          <w:tcPr>
            <w:tcW w:w="7160" w:type="dxa"/>
            <w:tcBorders/>
            <w:shd w:fill="CCEEFF" w:val="clear"/>
            <w:vAlign w:val="center"/>
          </w:tcPr>
          <w:p>
            <w:pPr>
              <w:pStyle w:val="TableContents"/>
              <w:bidi w:val="0"/>
              <w:spacing w:before="0" w:after="283"/>
              <w:jc w:val="left"/>
              <w:rPr/>
            </w:pPr>
            <w:r>
              <w:rPr/>
              <w:t>Short-term financing arrangement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right"/>
              <w:rPr/>
            </w:pPr>
            <w:r>
              <w:rPr/>
              <w:t>469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499</w:t>
            </w:r>
          </w:p>
        </w:tc>
        <w:tc>
          <w:tcPr>
            <w:tcW w:w="110" w:type="dxa"/>
            <w:tcBorders/>
            <w:shd w:fill="CCEEFF" w:val="clear"/>
            <w:vAlign w:val="center"/>
          </w:tcPr>
          <w:p>
            <w:pPr>
              <w:pStyle w:val="TableContents"/>
              <w:bidi w:val="0"/>
              <w:spacing w:before="0" w:after="283"/>
              <w:jc w:val="left"/>
              <w:rPr/>
            </w:pPr>
            <w:r>
              <w:rPr/>
              <w:t> </w:t>
            </w:r>
            <w:bookmarkStart w:id="219" w:name="xdx_40E_eus-gaap--SupplementalCashFlowIn"/>
            <w:bookmarkEnd w:id="219"/>
          </w:p>
        </w:tc>
      </w:tr>
      <w:tr>
        <w:trPr/>
        <w:tc>
          <w:tcPr>
            <w:tcW w:w="7160" w:type="dxa"/>
            <w:tcBorders/>
            <w:shd w:fill="FFFFFF" w:val="clear"/>
            <w:vAlign w:val="center"/>
          </w:tcPr>
          <w:p>
            <w:pPr>
              <w:pStyle w:val="TableContents"/>
              <w:bidi w:val="0"/>
              <w:spacing w:before="0" w:after="283"/>
              <w:jc w:val="left"/>
              <w:rPr>
                <w:b/>
              </w:rPr>
            </w:pPr>
            <w:r>
              <w:rPr>
                <w:b/>
              </w:rPr>
              <w:t>SUPPLEMENTAL CASH FLOW DISCLOSURES: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0" w:name="xdx_408_eus-gaap--InterestPaidNet_i01_zJ"/>
            <w:bookmarkEnd w:id="220"/>
          </w:p>
        </w:tc>
      </w:tr>
      <w:tr>
        <w:trPr/>
        <w:tc>
          <w:tcPr>
            <w:tcW w:w="716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right"/>
              <w:rPr/>
            </w:pPr>
            <w:r>
              <w:rPr/>
              <w:t>17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 </w:t>
            </w:r>
            <w:bookmarkStart w:id="221" w:name="xdx_408_eus-gaap--IncomeTaxesPaidNet_i01"/>
            <w:bookmarkEnd w:id="221"/>
          </w:p>
        </w:tc>
      </w:tr>
      <w:tr>
        <w:trPr/>
        <w:tc>
          <w:tcPr>
            <w:tcW w:w="716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jc w:val="right"/>
              <w:rPr/>
            </w:pPr>
            <w:r>
              <w:rPr/>
              <w:t>90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2" w:name="ak_007"/>
      <w:bookmarkEnd w:id="222"/>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3" w:name="xdx_80C_eus-gaap--BusinessDescriptionAnd"/>
      <w:bookmarkEnd w:id="223"/>
      <w:r>
        <w:rPr>
          <w:rFonts w:ascii="Times New Roman;Times;Serif" w:hAnsi="Times New Roman;Times;Serif"/>
          <w:b/>
          <w:i w:val="false"/>
          <w:caps w:val="false"/>
          <w:smallCaps w:val="false"/>
          <w:sz w:val="20"/>
        </w:rPr>
        <w:t xml:space="preserve">Note 1. </w:t>
      </w:r>
      <w:bookmarkStart w:id="224" w:name="xdx_820_zxcaaUR1L38g"/>
      <w:bookmarkEnd w:id="224"/>
      <w:r>
        <w:rPr>
          <w:rFonts w:ascii="Times New Roman;Times;Serif" w:hAnsi="Times New Roman;Times;Serif"/>
          <w:b/>
          <w:i w:val="false"/>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Plc, (the “Company” or “Akari”) is incorporated in the United Kingdom. The Company is developing next-generation antibody-drug conjugates (“ADCs”) through its proprietary technology platform that enables the Company to establish a pipeline of ADC candidates that target and kill cancer cells and stimulate the immune system, all while overcoming the limitations inherent in existing ADC therapies. The Company’s activities since inception have consisted of performing research and development activities and raising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number of risks similar to those of pre-clinical and clinical stage companies, including dependence on key individuals, uncertainty of product development and generation of revenues, dependence on outside sources of capital, risks associated with clinical trials of products, dependence on third-party collaborators for research and development operations, need for marketing authorization of products, risks associated with protection of intellectual property, and competition with larger, better-capitalized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fully execute its business plan, the Company will need, among other things, to complete its research and development efforts, preclinical and regulatory activities, and clinical trials. These activities may take several years and will require significant operating and capital expenditures in the foreseeable future. There can be no assurance that these activities will be successful. If the Company is not successful in these activities it could delay, limit, reduce or terminate its preclinical studies or other discovery and research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U.S. generally accepted accounting principles (“U.S. GAAP”) for interim financial information and the rules and regulations of the SEC and assumes that the Company will continue to operate as a going concern. Accordingly, they do not include all the information and footnotes required by U.S. GAAP for complete financial statements. These condensed consolidated financial statements have been prepared on the same basis as the Company’s annual consolidated financial statements and, in the opinion of management, reflect all adjustments, including normal and recurring adjustments, which the Company considers necessary for the fair statement of financial information. The results of operations and comprehensive loss for the three and six months ended June 30, 2026, are not necessarily indicative of expected results for the fiscal year ending December 31, 2026, or any other future period. The condensed consolidated balance sheet at December 31, 2025, has been derived from the audited consolidated financial statements at that date. These unaudited condensed consolidated financial statements should be read in conjunction with the Company’s audited consolidated financial statements as of December 31, 2025, and notes thereto included in its Form 10-K, as filed with the SEC on March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in conformity with U.S. GAAP requires management to make estimates and assumptions that may affect the reported amounts of assets, liabilities, expenses and related disclosures. Significant estimates and assumptions reflected in these condensed consolidated financial statements include, but are not limited to, the valuation of warrant liabilities and the impairment assessment of goodwill and indefinite-lived intangible assets. The Company bases its estimates on historical experience, known trends and other market-specific or other relevant factors that it believes to be reasonable under the circumstances. Estimates are periodically reviewed considering changes in circumstances, facts and experience. Changes in estimates are recorded in the period in which they become known. Actual results may differ from those estimates or assumptions.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provisions of Financial Accounting Standards Board (“FASB”) Accounting Standards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which requires management to assess the Company’s ability to continue as a going concern within one year after the date the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substantial losses and negative cash flows since inception and had an accumulated deficit of $</w:t>
      </w:r>
      <w:bookmarkStart w:id="225" w:name="xdx_90B_eus-gaap--RetainedEarningsAccumu"/>
      <w:bookmarkEnd w:id="225"/>
      <w:r>
        <w:rPr>
          <w:rFonts w:ascii="Times New Roman;Times;Serif" w:hAnsi="Times New Roman;Times;Serif"/>
          <w:b w:val="false"/>
          <w:i w:val="false"/>
          <w:caps w:val="false"/>
          <w:smallCaps w:val="false"/>
          <w:sz w:val="20"/>
        </w:rPr>
        <w:t>283.8 million as of June 30, 2026. The Company’s cash balance of $</w:t>
      </w:r>
      <w:bookmarkStart w:id="226" w:name="xdx_90D_eus-gaap--CashAndCashEquivalents"/>
      <w:bookmarkEnd w:id="226"/>
      <w:r>
        <w:rPr>
          <w:rFonts w:ascii="Times New Roman;Times;Serif" w:hAnsi="Times New Roman;Times;Serif"/>
          <w:b w:val="false"/>
          <w:i w:val="false"/>
          <w:caps w:val="false"/>
          <w:smallCaps w:val="false"/>
          <w:sz w:val="20"/>
        </w:rPr>
        <w:t>7.7 million as of June 30, 2026, is not sufficient to fund its operations for the one-year period after the date these condensed consolidated financial statements are issued. These factors raise substantial doubt about the Company’s ability to continue as a going concern for at least a one-year period following the issuance of these condensed consolidated financial statements. The accompanying unaudited condensed consolidated financial statements have been prepared on a going concern basis, which contemplates the realization of assets and satisfaction of liabilities in the normal course of business. The condensed consolidated financial statements do not include any adjustments related to the recoverability and classification of recorded asset amounts or the amounts and classification of liabilities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anticipates incurring additional losses until such time, if ever, that it can generate significant sales of its product candidates currently in research and development. The Company is subject to a number of risks and uncertainties similar to those of other companies of the same size within the biotechnology industry, such as uncertainty of preclinical research outcomes, uncertainty of additional funding, and history of operating losses. Substantial additional financing will be needed by the Company to fund its operations. Management is currently evaluating different strategies to obtain the required funding for future operations. These strategies may include but are not limited to private placements and/or public offerings of equity and/or debt securities, and strategic research and development collaborations and/or similar arrangements. There can be no assurance that these future funding efforts will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 Value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15, 2025, shareholders approved to sub-divide each of the ordinary shares with a par value of $</w:t>
      </w:r>
      <w:bookmarkStart w:id="227" w:name="xdx_90C_eus-gaap--CommonStockParOrStated"/>
      <w:bookmarkEnd w:id="227"/>
      <w:r>
        <w:rPr>
          <w:rFonts w:ascii="Times New Roman;Times;Serif" w:hAnsi="Times New Roman;Times;Serif"/>
          <w:b w:val="false"/>
          <w:i w:val="false"/>
          <w:caps w:val="false"/>
          <w:smallCaps w:val="false"/>
          <w:sz w:val="20"/>
        </w:rPr>
        <w:t>0.0001 into one ordinary share with a par value $</w:t>
      </w:r>
      <w:bookmarkStart w:id="228" w:name="xdx_904_eus-gaap--CommonStockParOrStated"/>
      <w:bookmarkEnd w:id="228"/>
      <w:r>
        <w:rPr>
          <w:rFonts w:ascii="Times New Roman;Times;Serif" w:hAnsi="Times New Roman;Times;Serif"/>
          <w:b w:val="false"/>
          <w:i w:val="false"/>
          <w:caps w:val="false"/>
          <w:smallCaps w:val="false"/>
          <w:sz w:val="20"/>
        </w:rPr>
        <w:t xml:space="preserve">0.000000005 and </w:t>
      </w:r>
      <w:bookmarkStart w:id="229" w:name="xdx_908_eus-gaap--DeferredCompensationAr"/>
      <w:bookmarkEnd w:id="229"/>
      <w:r>
        <w:rPr>
          <w:rFonts w:ascii="Times New Roman;Times;Serif" w:hAnsi="Times New Roman;Times;Serif"/>
          <w:b w:val="false"/>
          <w:i w:val="false"/>
          <w:caps w:val="false"/>
          <w:smallCaps w:val="false"/>
          <w:sz w:val="20"/>
        </w:rPr>
        <w:t>19,999 deferred shares with a par value $</w:t>
      </w:r>
      <w:bookmarkStart w:id="230" w:name="xdx_907_eus-gaap--DeferredCompensationAr"/>
      <w:bookmarkEnd w:id="230"/>
      <w:r>
        <w:rPr>
          <w:rFonts w:ascii="Times New Roman;Times;Serif" w:hAnsi="Times New Roman;Times;Serif"/>
          <w:b w:val="false"/>
          <w:i w:val="false"/>
          <w:caps w:val="false"/>
          <w:smallCaps w:val="false"/>
          <w:sz w:val="20"/>
        </w:rPr>
        <w:t xml:space="preserve">0.000000005 (the “Deferred Shares”), with such shares having the rights and being subject to the restrictions as set out in the new Articles of Association. As a result, the number of outstanding ordinary shares of the Company remained unchanged and there were </w:t>
      </w:r>
      <w:bookmarkStart w:id="231" w:name="xdx_907_eus-gaap--StockRepurchasedDuring"/>
      <w:bookmarkEnd w:id="231"/>
      <w:r>
        <w:rPr>
          <w:rFonts w:ascii="Times New Roman;Times;Serif" w:hAnsi="Times New Roman;Times;Serif"/>
          <w:b w:val="false"/>
          <w:i w:val="false"/>
          <w:caps w:val="false"/>
          <w:smallCaps w:val="false"/>
          <w:sz w:val="20"/>
        </w:rPr>
        <w:t xml:space="preserve">1,429,517,750,998,477 Deferred Shares created. The deferred shares were repurchased and cancelled, and the Company issued </w:t>
      </w:r>
      <w:bookmarkStart w:id="232" w:name="xdx_90F_ecustom--IssuanceOfShareCapitalU"/>
      <w:bookmarkEnd w:id="232"/>
      <w:r>
        <w:rPr>
          <w:rFonts w:ascii="Times New Roman;Times;Serif" w:hAnsi="Times New Roman;Times;Serif"/>
          <w:b w:val="false"/>
          <w:i w:val="false"/>
          <w:caps w:val="false"/>
          <w:smallCaps w:val="false"/>
          <w:sz w:val="20"/>
        </w:rPr>
        <w:t xml:space="preserve">10 ordinary shares in connection with a buyback agreement. The rights attached to the ordinary shares, with a par value of $ </w:t>
      </w:r>
      <w:bookmarkStart w:id="233" w:name="xdx_903_eus-gaap--CommonStockParOrStated"/>
      <w:bookmarkEnd w:id="233"/>
      <w:r>
        <w:rPr>
          <w:rFonts w:ascii="Times New Roman;Times;Serif" w:hAnsi="Times New Roman;Times;Serif"/>
          <w:b w:val="false"/>
          <w:i w:val="false"/>
          <w:caps w:val="false"/>
          <w:smallCaps w:val="false"/>
          <w:sz w:val="20"/>
        </w:rPr>
        <w:t>0.000000005 (including voting and dividend rights and rights on a return of capital) are identical in all respects to the previously outstanding ordinary shares with a par value of $</w:t>
      </w:r>
      <w:bookmarkStart w:id="234" w:name="xdx_90C_eus-gaap--CommonStockParOrStated"/>
      <w:bookmarkEnd w:id="234"/>
      <w:r>
        <w:rPr>
          <w:rFonts w:ascii="Times New Roman;Times;Serif" w:hAnsi="Times New Roman;Times;Serif"/>
          <w:b w:val="false"/>
          <w:i w:val="false"/>
          <w:caps w:val="false"/>
          <w:smallCaps w:val="false"/>
          <w:sz w:val="20"/>
        </w:rPr>
        <w:t>0.0001. The Deferred Shares have limited rights and are effectively valueless. There is no direct effect on the value of an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 Ratio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31, 2026, the Company changed the ratio of its American Depositary Shares (“ADS”) to ordinary shares, par value $</w:t>
      </w:r>
      <w:bookmarkStart w:id="235" w:name="xdx_90D_eus-gaap--CommonStockParOrStated"/>
      <w:bookmarkEnd w:id="235"/>
      <w:r>
        <w:rPr>
          <w:rFonts w:ascii="Times New Roman;Times;Serif" w:hAnsi="Times New Roman;Times;Serif"/>
          <w:b w:val="false"/>
          <w:i w:val="false"/>
          <w:caps w:val="false"/>
          <w:smallCaps w:val="false"/>
          <w:sz w:val="20"/>
        </w:rPr>
        <w:t xml:space="preserve">0.000000005 per share, from one ADS representing </w:t>
      </w:r>
      <w:bookmarkStart w:id="236" w:name="xdx_903_eus-gaap--SharesOutstanding_iI_p"/>
      <w:bookmarkEnd w:id="236"/>
      <w:r>
        <w:rPr>
          <w:rFonts w:ascii="Times New Roman;Times;Serif" w:hAnsi="Times New Roman;Times;Serif"/>
          <w:b w:val="false"/>
          <w:i w:val="false"/>
          <w:caps w:val="false"/>
          <w:smallCaps w:val="false"/>
          <w:sz w:val="20"/>
        </w:rPr>
        <w:t xml:space="preserve">2,000 ordinary shares to a new ratio of one ADS representing </w:t>
      </w:r>
      <w:bookmarkStart w:id="237" w:name="xdx_90E_eus-gaap--SharesOutstanding_iI_p"/>
      <w:bookmarkEnd w:id="237"/>
      <w:r>
        <w:rPr>
          <w:rFonts w:ascii="Times New Roman;Times;Serif" w:hAnsi="Times New Roman;Times;Serif"/>
          <w:b w:val="false"/>
          <w:i w:val="false"/>
          <w:caps w:val="false"/>
          <w:smallCaps w:val="false"/>
          <w:sz w:val="20"/>
        </w:rPr>
        <w:t>80,000 ordinary shares (the “ADS Ratio Change”). All ADS and per ADS amounts in the accompanying condensed consolidated financial statements and notes thereto have been retroactively adjusted for all periods presented to reflect the ADS Ratio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Continued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received a letter (“Letter”) from the Listing Qualifications Staff (the “Staff”) of The Nasdaq Capital Market (“Nasdaq”) indicating that the Company was not in compliance with Nasdaq Listing Rule 5550(a)(2) because the bid price for the Company’s ADS had closed below $</w:t>
      </w:r>
      <w:bookmarkStart w:id="238" w:name="xdx_905_eus-gaap--SharePrice_iI_pid_c202"/>
      <w:bookmarkEnd w:id="238"/>
      <w:r>
        <w:rPr>
          <w:rFonts w:ascii="Times New Roman;Times;Serif" w:hAnsi="Times New Roman;Times;Serif"/>
          <w:b w:val="false"/>
          <w:i w:val="false"/>
          <w:caps w:val="false"/>
          <w:smallCaps w:val="false"/>
          <w:sz w:val="20"/>
        </w:rPr>
        <w:t>1.00 per share (the “Minimum Bid Requirement”) for the previous thirty consecutive business days. In accordance with Nasdaq Listing Rule 5810(c)(3)(A), the Company had 180 calendar days from the date of such notice, or until May 25, 2026, to regain compliance with the Minimum Bid Requirement. Following the successful completion of the ADS Ratio Change, the Company received a letter from the Nasdaq Office of General Counsel notifying the Company that the Company has regained compliance with the Minimum Bid Requirement.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9" w:name="xdx_804_eus-gaap--SignificantAccountingP"/>
      <w:bookmarkEnd w:id="239"/>
      <w:r>
        <w:rPr>
          <w:rFonts w:ascii="Times New Roman;Times;Serif" w:hAnsi="Times New Roman;Times;Serif"/>
          <w:b/>
          <w:i w:val="false"/>
          <w:caps w:val="false"/>
          <w:smallCaps w:val="false"/>
          <w:sz w:val="20"/>
        </w:rPr>
        <w:t xml:space="preserve">Note 2. </w:t>
      </w:r>
      <w:bookmarkStart w:id="240" w:name="xdx_828_zR8bCRqe9g9k"/>
      <w:bookmarkEnd w:id="240"/>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and estimates used in the preparation of the accompanying unaudited condensed consolidated financial statements are described in the Company’s audited consolidated financial statements for the year ended December 31, 2025, included in the Company’s Annual Report on Form 10-K filed with the SEC on March 30, 2026. There have been no material changes in the Company’s significant accounting policies during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41" w:name="xdx_86D_z7lkQlrrBkCf"/>
      <w:bookmarkStart w:id="242" w:name="xdx_842_eus-gaap--NewAccountingPronounce"/>
      <w:bookmarkEnd w:id="241"/>
      <w:bookmarkEnd w:id="242"/>
      <w:r>
        <w:rPr>
          <w:rFonts w:ascii="Times New Roman;Times;Serif" w:hAnsi="Times New Roman;Times;Serif"/>
          <w:b w:val="false"/>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new accounting pronouncements are issued by the FASB or other standard setting bodies. Recently issued standards typically do not require adoption until a future effective date. Prior to their effective date, we evaluate the pronouncements to determine the potential effects of adoption on our accompanying unaudited condensed consolidated financial statements. During the first six months of 2026, no new accounting pronouncements issued or effective in the period had or are expected to have a material impact on our accompanying unaudited condensed consolidated financial statements.</w:t>
      </w:r>
    </w:p>
    <w:p>
      <w:pPr>
        <w:pStyle w:val="TextBody"/>
        <w:bidi w:val="0"/>
        <w:spacing w:before="0" w:after="0"/>
        <w:ind w:left="0" w:right="0" w:hanging="0"/>
        <w:jc w:val="both"/>
        <w:rPr>
          <w:caps w:val="false"/>
          <w:smallCaps w:val="false"/>
        </w:rPr>
      </w:pPr>
      <w:bookmarkStart w:id="243" w:name="xdx_852_zF6Zh7Qsoqgl"/>
      <w:bookmarkEnd w:id="24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4" w:name="xdx_803_eus-gaap--GoodwillAndIntangibleA"/>
      <w:bookmarkEnd w:id="244"/>
      <w:r>
        <w:rPr>
          <w:rFonts w:ascii="Times New Roman;Times;Serif" w:hAnsi="Times New Roman;Times;Serif"/>
          <w:b/>
          <w:i w:val="false"/>
          <w:caps w:val="false"/>
          <w:smallCaps w:val="false"/>
          <w:sz w:val="20"/>
        </w:rPr>
        <w:t xml:space="preserve">Note 3. </w:t>
      </w:r>
      <w:bookmarkStart w:id="245" w:name="xdx_82A_z0mYM5eA0La7"/>
      <w:bookmarkEnd w:id="245"/>
      <w:r>
        <w:rPr>
          <w:rFonts w:ascii="Times New Roman;Times;Serif" w:hAnsi="Times New Roman;Times;Serif"/>
          <w:b/>
          <w:i w:val="false"/>
          <w:caps w:val="false"/>
          <w:smallCaps w:val="false"/>
          <w:sz w:val="20"/>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6" w:name="xdx_899_eus-gaap--ScheduleOfOtherAssetsN"/>
      <w:bookmarkEnd w:id="246"/>
      <w:r>
        <w:rPr>
          <w:rFonts w:ascii="Times New Roman;Times;Serif" w:hAnsi="Times New Roman;Times;Serif"/>
          <w:b w:val="false"/>
          <w:i w:val="false"/>
          <w:caps w:val="false"/>
          <w:smallCaps w:val="false"/>
          <w:sz w:val="20"/>
        </w:rPr>
        <w:t>The following table presents information about the Company’s goodwill and IPR&amp;D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47" w:name="xdx_8B0_zxIufKXK2vIb"/>
      <w:bookmarkEnd w:id="247"/>
      <w:r>
        <w:rPr>
          <w:rFonts w:ascii="Times New Roman;Times;Serif" w:hAnsi="Times New Roman;Times;Serif"/>
          <w:b w:val="false"/>
          <w:i w:val="false"/>
          <w:caps w:val="false"/>
          <w:smallCaps w:val="false"/>
          <w:sz w:val="20"/>
        </w:rPr>
        <w:t>Schedule of Other Intangible Assets</w:t>
      </w:r>
    </w:p>
    <w:tbl>
      <w:tblPr>
        <w:tblW w:w="10205" w:type="dxa"/>
        <w:jc w:val="left"/>
        <w:tblInd w:w="0" w:type="dxa"/>
        <w:tblLayout w:type="fixed"/>
        <w:tblCellMar>
          <w:top w:w="0" w:type="dxa"/>
          <w:left w:w="0" w:type="dxa"/>
          <w:bottom w:w="28" w:type="dxa"/>
          <w:right w:w="0" w:type="dxa"/>
        </w:tblCellMar>
      </w:tblPr>
      <w:tblGrid>
        <w:gridCol w:w="2585"/>
        <w:gridCol w:w="60"/>
        <w:gridCol w:w="413"/>
        <w:gridCol w:w="2022"/>
        <w:gridCol w:w="60"/>
        <w:gridCol w:w="60"/>
        <w:gridCol w:w="641"/>
        <w:gridCol w:w="2565"/>
        <w:gridCol w:w="60"/>
        <w:gridCol w:w="60"/>
        <w:gridCol w:w="273"/>
        <w:gridCol w:w="1327"/>
        <w:gridCol w:w="79"/>
      </w:tblGrid>
      <w:tr>
        <w:trPr/>
        <w:tc>
          <w:tcPr>
            <w:tcW w:w="2585" w:type="dxa"/>
            <w:tcBorders>
              <w:bottom w:val="single" w:sz="8" w:space="0" w:color="000000"/>
            </w:tcBorders>
            <w:vAlign w:val="center"/>
          </w:tcPr>
          <w:p>
            <w:pPr>
              <w:pStyle w:val="TableContents"/>
              <w:bidi w:val="0"/>
              <w:spacing w:before="0" w:after="283"/>
              <w:jc w:val="left"/>
              <w:rPr/>
            </w:pPr>
            <w:r>
              <w:rPr/>
              <w:t>(In thousands)</w:t>
            </w:r>
          </w:p>
        </w:tc>
        <w:tc>
          <w:tcPr>
            <w:tcW w:w="60" w:type="dxa"/>
            <w:tcBorders/>
            <w:tcMar>
              <w:bottom w:w="0" w:type="dxa"/>
            </w:tcMar>
            <w:vAlign w:val="center"/>
          </w:tcPr>
          <w:p>
            <w:pPr>
              <w:pStyle w:val="TableContents"/>
              <w:bidi w:val="0"/>
              <w:spacing w:before="0" w:after="283"/>
              <w:jc w:val="left"/>
              <w:rPr/>
            </w:pPr>
            <w:r>
              <w:rPr/>
              <w:t> </w:t>
            </w:r>
            <w:bookmarkStart w:id="248" w:name="xdx_497_20260630__us-gaap--IndefiniteLiv"/>
            <w:bookmarkEnd w:id="248"/>
          </w:p>
        </w:tc>
        <w:tc>
          <w:tcPr>
            <w:tcW w:w="2435" w:type="dxa"/>
            <w:gridSpan w:val="2"/>
            <w:tcBorders>
              <w:bottom w:val="single" w:sz="8" w:space="0" w:color="000000"/>
            </w:tcBorders>
            <w:vAlign w:val="center"/>
          </w:tcPr>
          <w:p>
            <w:pPr>
              <w:pStyle w:val="TableContents"/>
              <w:bidi w:val="0"/>
              <w:spacing w:before="0" w:after="283"/>
              <w:jc w:val="center"/>
              <w:rPr>
                <w:b/>
              </w:rPr>
            </w:pPr>
            <w:r>
              <w:rPr>
                <w:b/>
              </w:rPr>
              <w:t>Gross Carrying 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49" w:name="xdx_49B_20260630__us-gaap--IndefiniteLiv"/>
            <w:bookmarkEnd w:id="249"/>
          </w:p>
        </w:tc>
        <w:tc>
          <w:tcPr>
            <w:tcW w:w="3206" w:type="dxa"/>
            <w:gridSpan w:val="2"/>
            <w:tcBorders>
              <w:bottom w:val="single" w:sz="8" w:space="0" w:color="000000"/>
            </w:tcBorders>
            <w:vAlign w:val="center"/>
          </w:tcPr>
          <w:p>
            <w:pPr>
              <w:pStyle w:val="TableContents"/>
              <w:bidi w:val="0"/>
              <w:spacing w:before="0" w:after="283"/>
              <w:jc w:val="center"/>
              <w:rPr>
                <w:b/>
              </w:rPr>
            </w:pPr>
            <w:r>
              <w:rPr>
                <w:b/>
              </w:rPr>
              <w:t>Cumulative Impairment Charge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50" w:name="xdx_494_20260630__us-gaap--IndefiniteLiv"/>
            <w:bookmarkEnd w:id="250"/>
          </w:p>
        </w:tc>
        <w:tc>
          <w:tcPr>
            <w:tcW w:w="1600" w:type="dxa"/>
            <w:gridSpan w:val="2"/>
            <w:tcBorders>
              <w:bottom w:val="single" w:sz="8" w:space="0" w:color="000000"/>
            </w:tcBorders>
            <w:vAlign w:val="center"/>
          </w:tcPr>
          <w:p>
            <w:pPr>
              <w:pStyle w:val="TableContents"/>
              <w:bidi w:val="0"/>
              <w:spacing w:before="0" w:after="283"/>
              <w:jc w:val="center"/>
              <w:rPr>
                <w:b/>
              </w:rPr>
            </w:pPr>
            <w:r>
              <w:rPr>
                <w:b/>
              </w:rPr>
              <w:t>Net Book Value</w:t>
            </w:r>
          </w:p>
        </w:tc>
        <w:tc>
          <w:tcPr>
            <w:tcW w:w="79"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81" w:type="dxa"/>
            <w:gridSpan w:val="10"/>
            <w:tcBorders>
              <w:bottom w:val="single" w:sz="8" w:space="0" w:color="000000"/>
            </w:tcBorders>
            <w:vAlign w:val="center"/>
          </w:tcPr>
          <w:p>
            <w:pPr>
              <w:pStyle w:val="TableContents"/>
              <w:bidi w:val="0"/>
              <w:spacing w:before="0" w:after="283"/>
              <w:jc w:val="center"/>
              <w:rPr>
                <w:b/>
              </w:rPr>
            </w:pPr>
            <w:r>
              <w:rPr>
                <w:b/>
              </w:rPr>
              <w:t>June 30, 2026</w:t>
            </w:r>
          </w:p>
        </w:tc>
        <w:tc>
          <w:tcPr>
            <w:tcW w:w="79" w:type="dxa"/>
            <w:tcBorders/>
            <w:tcMar>
              <w:bottom w:w="0" w:type="dxa"/>
            </w:tcMar>
            <w:vAlign w:val="center"/>
          </w:tcPr>
          <w:p>
            <w:pPr>
              <w:pStyle w:val="TableContents"/>
              <w:bidi w:val="0"/>
              <w:spacing w:before="0" w:after="283"/>
              <w:jc w:val="left"/>
              <w:rPr/>
            </w:pPr>
            <w:r>
              <w:rPr/>
              <w:t> </w:t>
            </w:r>
          </w:p>
        </w:tc>
      </w:tr>
      <w:tr>
        <w:trPr/>
        <w:tc>
          <w:tcPr>
            <w:tcW w:w="2585"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2435" w:type="dxa"/>
            <w:gridSpan w:val="2"/>
            <w:tcBorders>
              <w:bottom w:val="single" w:sz="8" w:space="0" w:color="000000"/>
            </w:tcBorders>
            <w:vAlign w:val="center"/>
          </w:tcPr>
          <w:p>
            <w:pPr>
              <w:pStyle w:val="TableContents"/>
              <w:bidi w:val="0"/>
              <w:spacing w:before="0" w:after="283"/>
              <w:jc w:val="center"/>
              <w:rPr>
                <w:b/>
              </w:rPr>
            </w:pPr>
            <w:r>
              <w:rPr>
                <w:b/>
              </w:rPr>
              <w:t>Gross Carrying 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06" w:type="dxa"/>
            <w:gridSpan w:val="2"/>
            <w:tcBorders>
              <w:bottom w:val="single" w:sz="8" w:space="0" w:color="000000"/>
            </w:tcBorders>
            <w:vAlign w:val="center"/>
          </w:tcPr>
          <w:p>
            <w:pPr>
              <w:pStyle w:val="TableContents"/>
              <w:bidi w:val="0"/>
              <w:spacing w:before="0" w:after="283"/>
              <w:jc w:val="center"/>
              <w:rPr>
                <w:b/>
              </w:rPr>
            </w:pPr>
            <w:r>
              <w:rPr>
                <w:b/>
              </w:rPr>
              <w:t>Cumulative Impairment Charge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00" w:type="dxa"/>
            <w:gridSpan w:val="2"/>
            <w:tcBorders>
              <w:bottom w:val="single" w:sz="8" w:space="0" w:color="000000"/>
            </w:tcBorders>
            <w:vAlign w:val="center"/>
          </w:tcPr>
          <w:p>
            <w:pPr>
              <w:pStyle w:val="TableContents"/>
              <w:bidi w:val="0"/>
              <w:spacing w:before="0" w:after="283"/>
              <w:jc w:val="center"/>
              <w:rPr>
                <w:b/>
              </w:rPr>
            </w:pPr>
            <w:r>
              <w:rPr>
                <w:b/>
              </w:rPr>
              <w:t>Net Book Value</w:t>
            </w:r>
          </w:p>
        </w:tc>
        <w:tc>
          <w:tcPr>
            <w:tcW w:w="79" w:type="dxa"/>
            <w:tcBorders/>
            <w:tcMar>
              <w:bottom w:w="0" w:type="dxa"/>
            </w:tcMar>
            <w:vAlign w:val="center"/>
          </w:tcPr>
          <w:p>
            <w:pPr>
              <w:pStyle w:val="TableContents"/>
              <w:bidi w:val="0"/>
              <w:spacing w:before="0" w:after="283"/>
              <w:jc w:val="left"/>
              <w:rPr/>
            </w:pPr>
            <w:r>
              <w:rPr/>
              <w:t> </w:t>
            </w:r>
            <w:bookmarkStart w:id="251" w:name="xdx_407_eus-gaap--OtherIntangibleAssetsN"/>
            <w:bookmarkEnd w:id="251"/>
          </w:p>
        </w:tc>
      </w:tr>
      <w:tr>
        <w:trPr/>
        <w:tc>
          <w:tcPr>
            <w:tcW w:w="2585" w:type="dxa"/>
            <w:tcBorders/>
            <w:shd w:fill="CCEEFF" w:val="clear"/>
            <w:tcMar>
              <w:bottom w:w="0" w:type="dxa"/>
            </w:tcMar>
            <w:vAlign w:val="center"/>
          </w:tcPr>
          <w:p>
            <w:pPr>
              <w:pStyle w:val="TableContents"/>
              <w:bidi w:val="0"/>
              <w:spacing w:before="0" w:after="283"/>
              <w:jc w:val="left"/>
              <w:rPr/>
            </w:pPr>
            <w:r>
              <w:rPr/>
              <w:t>AKTX-101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3" w:type="dxa"/>
            <w:tcBorders>
              <w:bottom w:val="single" w:sz="8" w:space="0" w:color="000000"/>
            </w:tcBorders>
            <w:shd w:fill="CCEEFF" w:val="clear"/>
            <w:vAlign w:val="center"/>
          </w:tcPr>
          <w:p>
            <w:pPr>
              <w:pStyle w:val="TableContents"/>
              <w:bidi w:val="0"/>
              <w:spacing w:before="0" w:after="283"/>
              <w:jc w:val="left"/>
              <w:rPr/>
            </w:pPr>
            <w:r>
              <w:rPr/>
              <w:t>$</w:t>
            </w:r>
          </w:p>
        </w:tc>
        <w:tc>
          <w:tcPr>
            <w:tcW w:w="2022" w:type="dxa"/>
            <w:tcBorders>
              <w:bottom w:val="single" w:sz="8" w:space="0" w:color="000000"/>
            </w:tcBorders>
            <w:shd w:fill="CCEEFF" w:val="clear"/>
            <w:vAlign w:val="center"/>
          </w:tcPr>
          <w:p>
            <w:pPr>
              <w:pStyle w:val="TableContents"/>
              <w:bidi w:val="0"/>
              <w:spacing w:before="0" w:after="283"/>
              <w:jc w:val="right"/>
              <w:rPr/>
            </w:pPr>
            <w:r>
              <w:rPr/>
              <w:t>34,000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1" w:type="dxa"/>
            <w:tcBorders>
              <w:bottom w:val="single" w:sz="8" w:space="0" w:color="000000"/>
            </w:tcBorders>
            <w:shd w:fill="CCEEFF" w:val="clear"/>
            <w:vAlign w:val="center"/>
          </w:tcPr>
          <w:p>
            <w:pPr>
              <w:pStyle w:val="TableContents"/>
              <w:bidi w:val="0"/>
              <w:spacing w:before="0" w:after="283"/>
              <w:jc w:val="left"/>
              <w:rPr/>
            </w:pPr>
            <w:r>
              <w:rPr/>
              <w:t>$</w:t>
            </w:r>
          </w:p>
        </w:tc>
        <w:tc>
          <w:tcPr>
            <w:tcW w:w="2565" w:type="dxa"/>
            <w:tcBorders>
              <w:bottom w:val="single" w:sz="8" w:space="0" w:color="000000"/>
            </w:tcBorders>
            <w:shd w:fill="CCEEFF" w:val="clear"/>
            <w:vAlign w:val="center"/>
          </w:tcPr>
          <w:p>
            <w:pPr>
              <w:pStyle w:val="TableContents"/>
              <w:bidi w:val="0"/>
              <w:spacing w:before="0" w:after="283"/>
              <w:jc w:val="right"/>
              <w:rPr/>
            </w:pPr>
            <w:r>
              <w:rPr/>
              <w:t>3,700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bottom w:val="single" w:sz="8" w:space="0" w:color="000000"/>
            </w:tcBorders>
            <w:shd w:fill="CCEEFF" w:val="clear"/>
            <w:vAlign w:val="center"/>
          </w:tcPr>
          <w:p>
            <w:pPr>
              <w:pStyle w:val="TableContents"/>
              <w:bidi w:val="0"/>
              <w:spacing w:before="0" w:after="283"/>
              <w:jc w:val="left"/>
              <w:rPr/>
            </w:pPr>
            <w:r>
              <w:rPr/>
              <w:t>$</w:t>
            </w:r>
          </w:p>
        </w:tc>
        <w:tc>
          <w:tcPr>
            <w:tcW w:w="1327" w:type="dxa"/>
            <w:tcBorders>
              <w:bottom w:val="single" w:sz="8" w:space="0" w:color="000000"/>
            </w:tcBorders>
            <w:shd w:fill="CCEEFF" w:val="clear"/>
            <w:vAlign w:val="center"/>
          </w:tcPr>
          <w:p>
            <w:pPr>
              <w:pStyle w:val="TableContents"/>
              <w:bidi w:val="0"/>
              <w:spacing w:before="0" w:after="283"/>
              <w:jc w:val="right"/>
              <w:rPr/>
            </w:pPr>
            <w:r>
              <w:rPr/>
              <w:t>30,300</w:t>
            </w:r>
          </w:p>
        </w:tc>
        <w:tc>
          <w:tcPr>
            <w:tcW w:w="79" w:type="dxa"/>
            <w:tcBorders/>
            <w:shd w:fill="CCEEFF" w:val="clear"/>
            <w:tcMar>
              <w:bottom w:w="0" w:type="dxa"/>
            </w:tcMar>
            <w:vAlign w:val="center"/>
          </w:tcPr>
          <w:p>
            <w:pPr>
              <w:pStyle w:val="TableContents"/>
              <w:bidi w:val="0"/>
              <w:spacing w:before="0" w:after="283"/>
              <w:jc w:val="left"/>
              <w:rPr/>
            </w:pPr>
            <w:r>
              <w:rPr/>
              <w:t> </w:t>
            </w:r>
            <w:bookmarkStart w:id="252" w:name="xdx_405_eus-gaap--OtherIntangibleAssetsN"/>
            <w:bookmarkEnd w:id="252"/>
          </w:p>
        </w:tc>
      </w:tr>
      <w:tr>
        <w:trPr/>
        <w:tc>
          <w:tcPr>
            <w:tcW w:w="2585" w:type="dxa"/>
            <w:tcBorders/>
            <w:shd w:fill="FFFFFF" w:val="clear"/>
            <w:tcMar>
              <w:bottom w:w="0" w:type="dxa"/>
            </w:tcMar>
            <w:vAlign w:val="center"/>
          </w:tcPr>
          <w:p>
            <w:pPr>
              <w:pStyle w:val="TableContents"/>
              <w:bidi w:val="0"/>
              <w:spacing w:before="0" w:after="283"/>
              <w:jc w:val="left"/>
              <w:rPr/>
            </w:pPr>
            <w:r>
              <w:rPr/>
              <w:t>Total other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vAlign w:val="center"/>
          </w:tcPr>
          <w:p>
            <w:pPr>
              <w:pStyle w:val="TableContents"/>
              <w:bidi w:val="0"/>
              <w:spacing w:before="0" w:after="283"/>
              <w:jc w:val="left"/>
              <w:rPr/>
            </w:pPr>
            <w:r>
              <w:rPr/>
              <w:t>$</w:t>
            </w:r>
          </w:p>
        </w:tc>
        <w:tc>
          <w:tcPr>
            <w:tcW w:w="2022" w:type="dxa"/>
            <w:tcBorders>
              <w:bottom w:val="double" w:sz="6" w:space="0" w:color="000000"/>
            </w:tcBorders>
            <w:shd w:fill="FFFFFF" w:val="clear"/>
            <w:vAlign w:val="center"/>
          </w:tcPr>
          <w:p>
            <w:pPr>
              <w:pStyle w:val="TableContents"/>
              <w:bidi w:val="0"/>
              <w:spacing w:before="0" w:after="283"/>
              <w:jc w:val="right"/>
              <w:rPr/>
            </w:pPr>
            <w:r>
              <w:rPr/>
              <w:t>34,000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1" w:type="dxa"/>
            <w:tcBorders>
              <w:bottom w:val="double" w:sz="6" w:space="0" w:color="000000"/>
            </w:tcBorders>
            <w:shd w:fill="FFFFFF" w:val="clear"/>
            <w:vAlign w:val="center"/>
          </w:tcPr>
          <w:p>
            <w:pPr>
              <w:pStyle w:val="TableContents"/>
              <w:bidi w:val="0"/>
              <w:spacing w:before="0" w:after="283"/>
              <w:jc w:val="left"/>
              <w:rPr/>
            </w:pPr>
            <w:r>
              <w:rPr/>
              <w:t>$</w:t>
            </w:r>
          </w:p>
        </w:tc>
        <w:tc>
          <w:tcPr>
            <w:tcW w:w="2565" w:type="dxa"/>
            <w:tcBorders>
              <w:bottom w:val="double" w:sz="6" w:space="0" w:color="000000"/>
            </w:tcBorders>
            <w:shd w:fill="FFFFFF" w:val="clear"/>
            <w:vAlign w:val="center"/>
          </w:tcPr>
          <w:p>
            <w:pPr>
              <w:pStyle w:val="TableContents"/>
              <w:bidi w:val="0"/>
              <w:spacing w:before="0" w:after="283"/>
              <w:jc w:val="right"/>
              <w:rPr/>
            </w:pPr>
            <w:r>
              <w:rPr/>
              <w:t>3,700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vAlign w:val="center"/>
          </w:tcPr>
          <w:p>
            <w:pPr>
              <w:pStyle w:val="TableContents"/>
              <w:bidi w:val="0"/>
              <w:spacing w:before="0" w:after="283"/>
              <w:jc w:val="left"/>
              <w:rPr/>
            </w:pPr>
            <w:r>
              <w:rPr/>
              <w:t>$</w:t>
            </w:r>
          </w:p>
        </w:tc>
        <w:tc>
          <w:tcPr>
            <w:tcW w:w="1327" w:type="dxa"/>
            <w:tcBorders>
              <w:bottom w:val="double" w:sz="6" w:space="0" w:color="000000"/>
            </w:tcBorders>
            <w:shd w:fill="FFFFFF" w:val="clear"/>
            <w:vAlign w:val="center"/>
          </w:tcPr>
          <w:p>
            <w:pPr>
              <w:pStyle w:val="TableContents"/>
              <w:bidi w:val="0"/>
              <w:spacing w:before="0" w:after="283"/>
              <w:jc w:val="right"/>
              <w:rPr/>
            </w:pPr>
            <w:r>
              <w:rPr/>
              <w:t>30,300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3" w:type="dxa"/>
            <w:tcBorders/>
            <w:shd w:fill="CCEEFF" w:val="clear"/>
            <w:tcMar>
              <w:bottom w:w="0" w:type="dxa"/>
            </w:tcMar>
            <w:vAlign w:val="center"/>
          </w:tcPr>
          <w:p>
            <w:pPr>
              <w:pStyle w:val="TableContents"/>
              <w:bidi w:val="0"/>
              <w:spacing w:before="0" w:after="283"/>
              <w:jc w:val="left"/>
              <w:rPr/>
            </w:pPr>
            <w:r>
              <w:rPr/>
              <w:t> </w:t>
            </w:r>
          </w:p>
        </w:tc>
        <w:tc>
          <w:tcPr>
            <w:tcW w:w="202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left"/>
              <w:rPr/>
            </w:pPr>
            <w:r>
              <w:rPr/>
              <w:t> </w:t>
            </w:r>
          </w:p>
        </w:tc>
        <w:tc>
          <w:tcPr>
            <w:tcW w:w="256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1327"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bookmarkStart w:id="253" w:name="xdx_403_eus-gaap--Goodwill_iI_pn3n3_zFfH"/>
            <w:bookmarkEnd w:id="253"/>
          </w:p>
        </w:tc>
      </w:tr>
      <w:tr>
        <w:trPr/>
        <w:tc>
          <w:tcPr>
            <w:tcW w:w="2585" w:type="dxa"/>
            <w:tcBorders/>
            <w:shd w:fill="FFFFFF" w:val="clear"/>
            <w:tcMar>
              <w:bottom w:w="0" w:type="dxa"/>
            </w:tcMar>
            <w:vAlign w:val="center"/>
          </w:tcPr>
          <w:p>
            <w:pPr>
              <w:pStyle w:val="TableContents"/>
              <w:bidi w:val="0"/>
              <w:spacing w:before="0" w:after="283"/>
              <w:jc w:val="left"/>
              <w:rPr/>
            </w:pPr>
            <w:r>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vAlign w:val="center"/>
          </w:tcPr>
          <w:p>
            <w:pPr>
              <w:pStyle w:val="TableContents"/>
              <w:bidi w:val="0"/>
              <w:spacing w:before="0" w:after="283"/>
              <w:jc w:val="left"/>
              <w:rPr/>
            </w:pPr>
            <w:r>
              <w:rPr/>
              <w:t>$</w:t>
            </w:r>
          </w:p>
        </w:tc>
        <w:tc>
          <w:tcPr>
            <w:tcW w:w="2022" w:type="dxa"/>
            <w:tcBorders>
              <w:bottom w:val="double" w:sz="6" w:space="0" w:color="000000"/>
            </w:tcBorders>
            <w:shd w:fill="FFFFFF" w:val="clear"/>
            <w:vAlign w:val="center"/>
          </w:tcPr>
          <w:p>
            <w:pPr>
              <w:pStyle w:val="TableContents"/>
              <w:bidi w:val="0"/>
              <w:spacing w:before="0" w:after="283"/>
              <w:jc w:val="right"/>
              <w:rPr/>
            </w:pPr>
            <w:r>
              <w:rPr/>
              <w:t>8,430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1" w:type="dxa"/>
            <w:tcBorders>
              <w:bottom w:val="double" w:sz="6" w:space="0" w:color="000000"/>
            </w:tcBorders>
            <w:shd w:fill="FFFFFF" w:val="clear"/>
            <w:vAlign w:val="center"/>
          </w:tcPr>
          <w:p>
            <w:pPr>
              <w:pStyle w:val="TableContents"/>
              <w:bidi w:val="0"/>
              <w:spacing w:before="0" w:after="283"/>
              <w:jc w:val="left"/>
              <w:rPr/>
            </w:pPr>
            <w:r>
              <w:rPr/>
              <w:t>$</w:t>
            </w:r>
          </w:p>
        </w:tc>
        <w:tc>
          <w:tcPr>
            <w:tcW w:w="2565" w:type="dxa"/>
            <w:tcBorders>
              <w:bottom w:val="double" w:sz="6" w:space="0" w:color="000000"/>
            </w:tcBorders>
            <w:shd w:fill="FFFFFF" w:val="clear"/>
            <w:vAlign w:val="center"/>
          </w:tcPr>
          <w:p>
            <w:pPr>
              <w:pStyle w:val="TableContents"/>
              <w:bidi w:val="0"/>
              <w:spacing w:before="0" w:after="283"/>
              <w:jc w:val="right"/>
              <w:rPr/>
            </w:pPr>
            <w:r>
              <w:rPr/>
              <w:t>8,430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vAlign w:val="center"/>
          </w:tcPr>
          <w:p>
            <w:pPr>
              <w:pStyle w:val="TableContents"/>
              <w:bidi w:val="0"/>
              <w:spacing w:before="0" w:after="283"/>
              <w:jc w:val="left"/>
              <w:rPr/>
            </w:pPr>
            <w:r>
              <w:rPr/>
              <w:t>$</w:t>
            </w:r>
          </w:p>
        </w:tc>
        <w:tc>
          <w:tcPr>
            <w:tcW w:w="1327" w:type="dxa"/>
            <w:tcBorders>
              <w:bottom w:val="double" w:sz="6" w:space="0" w:color="000000"/>
            </w:tcBorders>
            <w:shd w:fill="FFFFFF" w:val="cle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tbl>
      <w:tblPr>
        <w:tblW w:w="5715" w:type="dxa"/>
        <w:jc w:val="left"/>
        <w:tblInd w:w="0" w:type="dxa"/>
        <w:tblLayout w:type="fixed"/>
        <w:tblCellMar>
          <w:top w:w="0" w:type="dxa"/>
          <w:left w:w="0" w:type="dxa"/>
          <w:bottom w:w="28" w:type="dxa"/>
          <w:right w:w="0" w:type="dxa"/>
        </w:tblCellMar>
      </w:tblPr>
      <w:tblGrid>
        <w:gridCol w:w="2660"/>
        <w:gridCol w:w="60"/>
        <w:gridCol w:w="140"/>
        <w:gridCol w:w="680"/>
        <w:gridCol w:w="60"/>
        <w:gridCol w:w="60"/>
        <w:gridCol w:w="208"/>
        <w:gridCol w:w="832"/>
        <w:gridCol w:w="60"/>
        <w:gridCol w:w="60"/>
        <w:gridCol w:w="140"/>
        <w:gridCol w:w="680"/>
        <w:gridCol w:w="75"/>
      </w:tblGrid>
      <w:tr>
        <w:trPr/>
        <w:tc>
          <w:tcPr>
            <w:tcW w:w="2660" w:type="dxa"/>
            <w:tcBorders>
              <w:bottom w:val="single" w:sz="8" w:space="0" w:color="000000"/>
            </w:tcBorders>
            <w:vAlign w:val="center"/>
          </w:tcPr>
          <w:p>
            <w:pPr>
              <w:pStyle w:val="TableContents"/>
              <w:bidi w:val="0"/>
              <w:spacing w:before="0" w:after="283"/>
              <w:jc w:val="left"/>
              <w:rPr/>
            </w:pPr>
            <w:r>
              <w:rPr/>
              <w:t>(In thousands)</w:t>
            </w:r>
          </w:p>
        </w:tc>
        <w:tc>
          <w:tcPr>
            <w:tcW w:w="60" w:type="dxa"/>
            <w:tcBorders/>
            <w:tcMar>
              <w:bottom w:w="0" w:type="dxa"/>
            </w:tcMar>
            <w:vAlign w:val="center"/>
          </w:tcPr>
          <w:p>
            <w:pPr>
              <w:pStyle w:val="TableContents"/>
              <w:bidi w:val="0"/>
              <w:spacing w:before="0" w:after="283"/>
              <w:jc w:val="left"/>
              <w:rPr/>
            </w:pPr>
            <w:r>
              <w:rPr/>
              <w:t> </w:t>
            </w:r>
            <w:bookmarkStart w:id="254" w:name="xdx_491_20251231__us-gaap--IndefiniteLiv"/>
            <w:bookmarkEnd w:id="254"/>
          </w:p>
        </w:tc>
        <w:tc>
          <w:tcPr>
            <w:tcW w:w="8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55" w:name="xdx_49E_20251231__us-gaap--IndefiniteLiv"/>
            <w:bookmarkEnd w:id="255"/>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Cumulative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Charge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56" w:name="xdx_494_20251231__us-gaap--IndefiniteLiv"/>
            <w:bookmarkEnd w:id="256"/>
          </w:p>
        </w:tc>
        <w:tc>
          <w:tcPr>
            <w:tcW w:w="8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Book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tcMar>
              <w:bottom w:w="0" w:type="dxa"/>
            </w:tcMar>
            <w:vAlign w:val="center"/>
          </w:tcPr>
          <w:p>
            <w:pPr>
              <w:pStyle w:val="TableContents"/>
              <w:bidi w:val="0"/>
              <w:spacing w:before="0" w:after="283"/>
              <w:jc w:val="left"/>
              <w:rPr/>
            </w:pPr>
            <w:r>
              <w:rPr/>
              <w:t> </w:t>
            </w:r>
          </w:p>
        </w:tc>
      </w:tr>
      <w:tr>
        <w:trPr/>
        <w:tc>
          <w:tcPr>
            <w:tcW w:w="2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20" w:type="dxa"/>
            <w:gridSpan w:val="10"/>
            <w:tcBorders>
              <w:bottom w:val="single" w:sz="8" w:space="0" w:color="000000"/>
            </w:tcBorders>
            <w:vAlign w:val="center"/>
          </w:tcPr>
          <w:p>
            <w:pPr>
              <w:pStyle w:val="TableContents"/>
              <w:bidi w:val="0"/>
              <w:spacing w:before="0" w:after="283"/>
              <w:jc w:val="center"/>
              <w:rPr>
                <w:b/>
              </w:rPr>
            </w:pPr>
            <w:r>
              <w:rPr>
                <w:b/>
              </w:rPr>
              <w:t>December 31, 2025</w:t>
            </w:r>
          </w:p>
        </w:tc>
        <w:tc>
          <w:tcPr>
            <w:tcW w:w="75" w:type="dxa"/>
            <w:tcBorders/>
            <w:tcMar>
              <w:bottom w:w="0" w:type="dxa"/>
            </w:tcMar>
            <w:vAlign w:val="center"/>
          </w:tcPr>
          <w:p>
            <w:pPr>
              <w:pStyle w:val="TableContents"/>
              <w:bidi w:val="0"/>
              <w:spacing w:before="0" w:after="283"/>
              <w:jc w:val="left"/>
              <w:rPr/>
            </w:pPr>
            <w:r>
              <w:rPr/>
              <w:t> </w:t>
            </w:r>
          </w:p>
        </w:tc>
      </w:tr>
      <w:tr>
        <w:trPr/>
        <w:tc>
          <w:tcPr>
            <w:tcW w:w="266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Cumulative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Charge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Book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tcMar>
              <w:bottom w:w="0" w:type="dxa"/>
            </w:tcMar>
            <w:vAlign w:val="center"/>
          </w:tcPr>
          <w:p>
            <w:pPr>
              <w:pStyle w:val="TableContents"/>
              <w:bidi w:val="0"/>
              <w:spacing w:before="0" w:after="283"/>
              <w:jc w:val="left"/>
              <w:rPr/>
            </w:pPr>
            <w:r>
              <w:rPr/>
              <w:t> </w:t>
            </w:r>
            <w:bookmarkStart w:id="257" w:name="xdx_409_eus-gaap--OtherIntangibleAssetsN"/>
            <w:bookmarkEnd w:id="257"/>
          </w:p>
        </w:tc>
      </w:tr>
      <w:tr>
        <w:trPr/>
        <w:tc>
          <w:tcPr>
            <w:tcW w:w="2660" w:type="dxa"/>
            <w:tcBorders/>
            <w:shd w:fill="CCEEFF" w:val="clear"/>
            <w:tcMar>
              <w:bottom w:w="0" w:type="dxa"/>
            </w:tcMar>
            <w:vAlign w:val="center"/>
          </w:tcPr>
          <w:p>
            <w:pPr>
              <w:pStyle w:val="TableContents"/>
              <w:bidi w:val="0"/>
              <w:spacing w:before="0" w:after="283"/>
              <w:jc w:val="left"/>
              <w:rPr/>
            </w:pPr>
            <w:r>
              <w:rPr/>
              <w:t>AKTX-101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34,000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83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34,000</w:t>
            </w:r>
          </w:p>
        </w:tc>
        <w:tc>
          <w:tcPr>
            <w:tcW w:w="75" w:type="dxa"/>
            <w:tcBorders/>
            <w:shd w:fill="CCEEFF" w:val="clear"/>
            <w:tcMar>
              <w:bottom w:w="0" w:type="dxa"/>
            </w:tcMar>
            <w:vAlign w:val="center"/>
          </w:tcPr>
          <w:p>
            <w:pPr>
              <w:pStyle w:val="TableContents"/>
              <w:bidi w:val="0"/>
              <w:spacing w:before="0" w:after="283"/>
              <w:jc w:val="left"/>
              <w:rPr/>
            </w:pPr>
            <w:r>
              <w:rPr/>
              <w:t> </w:t>
            </w:r>
            <w:bookmarkStart w:id="258" w:name="xdx_40E_eus-gaap--OtherIntangibleAssetsN"/>
            <w:bookmarkEnd w:id="258"/>
          </w:p>
        </w:tc>
      </w:tr>
      <w:tr>
        <w:trPr/>
        <w:tc>
          <w:tcPr>
            <w:tcW w:w="2660" w:type="dxa"/>
            <w:tcBorders/>
            <w:shd w:fill="FFFFFF" w:val="clear"/>
            <w:tcMar>
              <w:bottom w:w="0" w:type="dxa"/>
            </w:tcMar>
            <w:vAlign w:val="center"/>
          </w:tcPr>
          <w:p>
            <w:pPr>
              <w:pStyle w:val="TableContents"/>
              <w:bidi w:val="0"/>
              <w:spacing w:before="0" w:after="283"/>
              <w:jc w:val="left"/>
              <w:rPr/>
            </w:pPr>
            <w:r>
              <w:rPr/>
              <w:t>PHP-303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5,180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FFFFFF" w:val="clear"/>
            <w:vAlign w:val="center"/>
          </w:tcPr>
          <w:p>
            <w:pPr>
              <w:pStyle w:val="TableContents"/>
              <w:bidi w:val="0"/>
              <w:spacing w:before="0" w:after="283"/>
              <w:jc w:val="left"/>
              <w:rPr/>
            </w:pPr>
            <w:r>
              <w:rPr/>
              <w:t> </w:t>
            </w:r>
          </w:p>
        </w:tc>
        <w:tc>
          <w:tcPr>
            <w:tcW w:w="832" w:type="dxa"/>
            <w:tcBorders>
              <w:bottom w:val="single" w:sz="8" w:space="0" w:color="000000"/>
            </w:tcBorders>
            <w:shd w:fill="FFFFFF" w:val="clear"/>
            <w:vAlign w:val="center"/>
          </w:tcPr>
          <w:p>
            <w:pPr>
              <w:pStyle w:val="TableContents"/>
              <w:bidi w:val="0"/>
              <w:spacing w:before="0" w:after="283"/>
              <w:jc w:val="right"/>
              <w:rPr/>
            </w:pPr>
            <w:r>
              <w:rPr/>
              <w:t>5,180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259" w:name="xdx_40B_eus-gaap--OtherIntangibleAssetsN"/>
            <w:bookmarkEnd w:id="259"/>
          </w:p>
        </w:tc>
      </w:tr>
      <w:tr>
        <w:trPr/>
        <w:tc>
          <w:tcPr>
            <w:tcW w:w="2660" w:type="dxa"/>
            <w:tcBorders/>
            <w:shd w:fill="CCEEFF" w:val="clear"/>
            <w:tcMar>
              <w:bottom w:w="0" w:type="dxa"/>
            </w:tcMar>
            <w:vAlign w:val="center"/>
          </w:tcPr>
          <w:p>
            <w:pPr>
              <w:pStyle w:val="TableContents"/>
              <w:bidi w:val="0"/>
              <w:spacing w:before="0" w:after="283"/>
              <w:jc w:val="left"/>
              <w:rPr/>
            </w:pPr>
            <w:r>
              <w:rPr/>
              <w:t>Total other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39,180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double" w:sz="6" w:space="0" w:color="000000"/>
            </w:tcBorders>
            <w:shd w:fill="CCEEFF" w:val="clear"/>
            <w:vAlign w:val="center"/>
          </w:tcPr>
          <w:p>
            <w:pPr>
              <w:pStyle w:val="TableContents"/>
              <w:bidi w:val="0"/>
              <w:spacing w:before="0" w:after="283"/>
              <w:jc w:val="left"/>
              <w:rPr/>
            </w:pPr>
            <w:r>
              <w:rPr/>
              <w:t>$</w:t>
            </w:r>
          </w:p>
        </w:tc>
        <w:tc>
          <w:tcPr>
            <w:tcW w:w="832" w:type="dxa"/>
            <w:tcBorders>
              <w:bottom w:val="double" w:sz="6" w:space="0" w:color="000000"/>
            </w:tcBorders>
            <w:shd w:fill="CCEEFF" w:val="clear"/>
            <w:vAlign w:val="center"/>
          </w:tcPr>
          <w:p>
            <w:pPr>
              <w:pStyle w:val="TableContents"/>
              <w:bidi w:val="0"/>
              <w:spacing w:before="0" w:after="283"/>
              <w:jc w:val="right"/>
              <w:rPr/>
            </w:pPr>
            <w:r>
              <w:rPr/>
              <w:t>5,180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34,000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260" w:name="xdx_401_eus-gaap--Goodwill_iI_pn3n3_zQYz"/>
            <w:bookmarkEnd w:id="260"/>
          </w:p>
        </w:tc>
      </w:tr>
      <w:tr>
        <w:trPr/>
        <w:tc>
          <w:tcPr>
            <w:tcW w:w="2660" w:type="dxa"/>
            <w:tcBorders/>
            <w:shd w:fill="CCEEFF" w:val="clear"/>
            <w:tcMar>
              <w:bottom w:w="0" w:type="dxa"/>
            </w:tcMar>
            <w:vAlign w:val="center"/>
          </w:tcPr>
          <w:p>
            <w:pPr>
              <w:pStyle w:val="TableContents"/>
              <w:bidi w:val="0"/>
              <w:spacing w:before="0" w:after="283"/>
              <w:jc w:val="left"/>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8,430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double" w:sz="6" w:space="0" w:color="000000"/>
            </w:tcBorders>
            <w:shd w:fill="CCEEFF" w:val="clear"/>
            <w:vAlign w:val="center"/>
          </w:tcPr>
          <w:p>
            <w:pPr>
              <w:pStyle w:val="TableContents"/>
              <w:bidi w:val="0"/>
              <w:spacing w:before="0" w:after="283"/>
              <w:jc w:val="left"/>
              <w:rPr/>
            </w:pPr>
            <w:r>
              <w:rPr/>
              <w:t>$</w:t>
            </w:r>
          </w:p>
        </w:tc>
        <w:tc>
          <w:tcPr>
            <w:tcW w:w="832"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8,430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08" w:right="0" w:hanging="0"/>
        <w:jc w:val="both"/>
        <w:rPr>
          <w:caps w:val="false"/>
          <w:smallCaps w:val="false"/>
        </w:rPr>
      </w:pPr>
      <w:bookmarkStart w:id="261" w:name="xdx_8A7_zIJzbSjRcGZa"/>
      <w:bookmarkEnd w:id="26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IPR&amp;D and goodwill are tested for impairment at least annually, or more frequently if impairment indicators are present. Due to a sustained decline in the Company’s ADS price and market capitalization during the quarter ended March 31, 2026, a quantitative impairment test was triggered for both the Company’s IPR&amp;D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first reviewed its AKTX-101 IPR&amp;D asset considering updated development and valuation assumptions. The updated assumptions included refinements to the expected development timelines and probability weighted cash flows to reflect current market conditions, capital availability considerations, and the heightened uncertainty inherent in advancing the program under these conditions, as well as an increase in the discount rate to reflect the overall risk profile of the asset. The estimated fair value of the IPR&amp;D asset was determined using the multi-period excess earnings method and requires management judgment with respect to forecasted gross revenues, revenue and expense growth rates, timing of clinical trials and overall probability of success, and the selection and use of an appropriate discount rate. As a result of the impairment analysis, the Company recorded an impairment charge of $</w:t>
      </w:r>
      <w:bookmarkStart w:id="262" w:name="xdx_904_eus-gaap--ImpairmentOfIntangible"/>
      <w:bookmarkEnd w:id="262"/>
      <w:r>
        <w:rPr>
          <w:rFonts w:ascii="Times New Roman;Times;Serif" w:hAnsi="Times New Roman;Times;Serif"/>
          <w:b w:val="false"/>
          <w:i w:val="false"/>
          <w:caps w:val="false"/>
          <w:smallCaps w:val="false"/>
          <w:sz w:val="20"/>
        </w:rPr>
        <w:t xml:space="preserve">3.7 million in the condensed consolidated statement of operations and comprehensive loss during the six months ended June 30, 2026. There was </w:t>
      </w:r>
      <w:bookmarkStart w:id="263" w:name="xdx_901_eus-gaap--ImpairmentOfIntangible"/>
      <w:bookmarkStart w:id="264" w:name="xdx_90E_eus-gaap--ImpairmentOfIntangible"/>
      <w:bookmarkStart w:id="265" w:name="xdx_904_eus-gaap--ImpairmentOfIntangible"/>
      <w:bookmarkEnd w:id="263"/>
      <w:bookmarkEnd w:id="264"/>
      <w:bookmarkEnd w:id="265"/>
      <w:r>
        <w:rPr>
          <w:rFonts w:ascii="Times New Roman;Times;Serif" w:hAnsi="Times New Roman;Times;Serif"/>
          <w:b w:val="false"/>
          <w:i w:val="false"/>
          <w:caps w:val="false"/>
          <w:smallCaps w:val="false"/>
          <w:sz w:val="20"/>
        </w:rPr>
        <w:t>no impairment charge recognized on the AKTX 101-IPR&amp;D asset during the three months ended June 30, 2026, and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then performed a quantitative goodwill impairment assessment as of March 31, 2026. The fair value of the reporting unit was estimated using an income approach based on a discounted cash flow model and was compared to the Company’s overall market capitalization. As a result, the estimated fair value of the reporting unit was determined to be lower than its carrying value, and the Company recorded a non-cash goodwill impairment charge of $</w:t>
      </w:r>
      <w:bookmarkStart w:id="266" w:name="xdx_904_eus-gaap--GoodwillImpairmentLoss"/>
      <w:bookmarkEnd w:id="266"/>
      <w:r>
        <w:rPr>
          <w:rFonts w:ascii="Times New Roman;Times;Serif" w:hAnsi="Times New Roman;Times;Serif"/>
          <w:b w:val="false"/>
          <w:i w:val="false"/>
          <w:caps w:val="false"/>
          <w:smallCaps w:val="false"/>
          <w:sz w:val="20"/>
        </w:rPr>
        <w:t xml:space="preserve">8.4 million in the condensed consolidated statement of operations and comprehensive loss during the six months ended June 30, 2026. There was </w:t>
      </w:r>
      <w:bookmarkStart w:id="267" w:name="xdx_906_eus-gaap--GoodwillImpairmentLoss"/>
      <w:bookmarkStart w:id="268" w:name="xdx_900_eus-gaap--GoodwillImpairmentLoss"/>
      <w:bookmarkStart w:id="269" w:name="xdx_90A_eus-gaap--GoodwillImpairmentLoss"/>
      <w:bookmarkEnd w:id="267"/>
      <w:bookmarkEnd w:id="268"/>
      <w:bookmarkEnd w:id="269"/>
      <w:r>
        <w:rPr>
          <w:rFonts w:ascii="Times New Roman;Times;Serif" w:hAnsi="Times New Roman;Times;Serif"/>
          <w:b w:val="false"/>
          <w:i w:val="false"/>
          <w:caps w:val="false"/>
          <w:smallCaps w:val="false"/>
          <w:sz w:val="20"/>
        </w:rPr>
        <w:t>no impairment charge recognized on goodwill during the three months ended June 30, 2026, and the three and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0" w:name="xdx_800_eus-gaap--AccountsPayableAccrued"/>
      <w:bookmarkEnd w:id="270"/>
      <w:r>
        <w:rPr>
          <w:rFonts w:ascii="Times New Roman;Times;Serif" w:hAnsi="Times New Roman;Times;Serif"/>
          <w:b/>
          <w:i w:val="false"/>
          <w:caps w:val="false"/>
          <w:smallCaps w:val="false"/>
          <w:sz w:val="20"/>
        </w:rPr>
        <w:t xml:space="preserve">Note 4. </w:t>
      </w:r>
      <w:bookmarkStart w:id="271" w:name="xdx_82B_z5dA91luH5al"/>
      <w:bookmarkEnd w:id="271"/>
      <w:r>
        <w:rPr>
          <w:rFonts w:ascii="Times New Roman;Times;Serif" w:hAnsi="Times New Roman;Times;Serif"/>
          <w:b/>
          <w:i w:val="false"/>
          <w:caps w:val="false"/>
          <w:smallCaps w:val="false"/>
          <w:sz w:val="20"/>
        </w:rPr>
        <w:t>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2" w:name="xdx_89C_eus-gaap--ScheduleOfAccruedLiabi"/>
      <w:bookmarkEnd w:id="272"/>
      <w:r>
        <w:rPr>
          <w:rFonts w:ascii="Times New Roman;Times;Serif" w:hAnsi="Times New Roman;Times;Serif"/>
          <w:b w:val="false"/>
          <w:i w:val="false"/>
          <w:caps w:val="false"/>
          <w:smallCaps w:val="false"/>
          <w:sz w:val="20"/>
        </w:rPr>
        <w:t>Accrued expenses consisted of the following as of June 30, 2026, and December 31, 2025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3" w:name="xdx_8B5_zSogtSqdwlRa"/>
      <w:bookmarkEnd w:id="273"/>
      <w:r>
        <w:rPr>
          <w:rFonts w:ascii="Times New Roman;Times;Serif" w:hAnsi="Times New Roman;Times;Serif"/>
          <w:b w:val="false"/>
          <w:i w:val="false"/>
          <w:caps w:val="false"/>
          <w:smallCaps w:val="false"/>
          <w:sz w:val="20"/>
        </w:rPr>
        <w:t>Schedule of Accrued Expenses</w:t>
      </w:r>
    </w:p>
    <w:tbl>
      <w:tblPr>
        <w:tblW w:w="6810" w:type="dxa"/>
        <w:jc w:val="left"/>
        <w:tblInd w:w="0" w:type="dxa"/>
        <w:tblLayout w:type="fixed"/>
        <w:tblCellMar>
          <w:top w:w="0" w:type="dxa"/>
          <w:left w:w="0" w:type="dxa"/>
          <w:bottom w:w="0" w:type="dxa"/>
          <w:right w:w="0" w:type="dxa"/>
        </w:tblCellMar>
      </w:tblPr>
      <w:tblGrid>
        <w:gridCol w:w="4265"/>
        <w:gridCol w:w="60"/>
        <w:gridCol w:w="175"/>
        <w:gridCol w:w="700"/>
        <w:gridCol w:w="60"/>
        <w:gridCol w:w="60"/>
        <w:gridCol w:w="283"/>
        <w:gridCol w:w="1132"/>
        <w:gridCol w:w="75"/>
      </w:tblGrid>
      <w:tr>
        <w:trPr/>
        <w:tc>
          <w:tcPr>
            <w:tcW w:w="4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74" w:name="xdx_49F_20260630_zgk9F51niNk9"/>
            <w:bookmarkEnd w:id="274"/>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5" w:name="xdx_491_20251231_zz9rKeN6qCq1"/>
            <w:bookmarkEnd w:id="275"/>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276" w:name="xdx_408_eus-gaap--AccruedEmployeeBenefit"/>
            <w:bookmarkEnd w:id="276"/>
          </w:p>
        </w:tc>
      </w:tr>
      <w:tr>
        <w:trPr/>
        <w:tc>
          <w:tcPr>
            <w:tcW w:w="4265" w:type="dxa"/>
            <w:tcBorders/>
            <w:shd w:fill="CCEEFF" w:val="clear"/>
            <w:vAlign w:val="center"/>
          </w:tcPr>
          <w:p>
            <w:pPr>
              <w:pStyle w:val="TableContents"/>
              <w:bidi w:val="0"/>
              <w:spacing w:before="0" w:after="283"/>
              <w:jc w:val="left"/>
              <w:rPr/>
            </w:pPr>
            <w:r>
              <w:rPr/>
              <w:t>Employee compensation and benefits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780</w:t>
            </w:r>
          </w:p>
        </w:tc>
        <w:tc>
          <w:tcPr>
            <w:tcW w:w="75" w:type="dxa"/>
            <w:tcBorders/>
            <w:shd w:fill="CCEEFF" w:val="clear"/>
            <w:vAlign w:val="center"/>
          </w:tcPr>
          <w:p>
            <w:pPr>
              <w:pStyle w:val="TableContents"/>
              <w:bidi w:val="0"/>
              <w:spacing w:before="0" w:after="283"/>
              <w:jc w:val="left"/>
              <w:rPr/>
            </w:pPr>
            <w:r>
              <w:rPr/>
              <w:t> </w:t>
            </w:r>
            <w:bookmarkStart w:id="277" w:name="xdx_405_ecustom--AccruedExternalResearch"/>
            <w:bookmarkEnd w:id="277"/>
          </w:p>
        </w:tc>
      </w:tr>
      <w:tr>
        <w:trPr/>
        <w:tc>
          <w:tcPr>
            <w:tcW w:w="4265" w:type="dxa"/>
            <w:tcBorders/>
            <w:shd w:fill="FFFFFF" w:val="clear"/>
            <w:vAlign w:val="center"/>
          </w:tcPr>
          <w:p>
            <w:pPr>
              <w:pStyle w:val="TableContents"/>
              <w:bidi w:val="0"/>
              <w:spacing w:before="0" w:after="283"/>
              <w:jc w:val="left"/>
              <w:rPr/>
            </w:pPr>
            <w:r>
              <w:rPr/>
              <w:t>External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299</w:t>
            </w:r>
          </w:p>
        </w:tc>
        <w:tc>
          <w:tcPr>
            <w:tcW w:w="75" w:type="dxa"/>
            <w:tcBorders/>
            <w:shd w:fill="FFFFFF" w:val="clear"/>
            <w:vAlign w:val="center"/>
          </w:tcPr>
          <w:p>
            <w:pPr>
              <w:pStyle w:val="TableContents"/>
              <w:bidi w:val="0"/>
              <w:spacing w:before="0" w:after="283"/>
              <w:jc w:val="left"/>
              <w:rPr/>
            </w:pPr>
            <w:r>
              <w:rPr/>
              <w:t> </w:t>
            </w:r>
            <w:bookmarkStart w:id="278" w:name="xdx_407_eus-gaap--AccruedProfessionalFee"/>
            <w:bookmarkEnd w:id="278"/>
          </w:p>
        </w:tc>
      </w:tr>
      <w:tr>
        <w:trPr/>
        <w:tc>
          <w:tcPr>
            <w:tcW w:w="4265" w:type="dxa"/>
            <w:tcBorders/>
            <w:shd w:fill="CCEEFF" w:val="clear"/>
            <w:vAlign w:val="center"/>
          </w:tcPr>
          <w:p>
            <w:pPr>
              <w:pStyle w:val="TableContents"/>
              <w:bidi w:val="0"/>
              <w:spacing w:before="0" w:after="283"/>
              <w:jc w:val="left"/>
              <w:rPr/>
            </w:pPr>
            <w:r>
              <w:rPr/>
              <w:t>Professional and consulting fees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814</w:t>
            </w:r>
          </w:p>
        </w:tc>
        <w:tc>
          <w:tcPr>
            <w:tcW w:w="75" w:type="dxa"/>
            <w:tcBorders/>
            <w:shd w:fill="CCEEFF" w:val="clear"/>
            <w:vAlign w:val="center"/>
          </w:tcPr>
          <w:p>
            <w:pPr>
              <w:pStyle w:val="TableContents"/>
              <w:bidi w:val="0"/>
              <w:spacing w:before="0" w:after="283"/>
              <w:jc w:val="left"/>
              <w:rPr/>
            </w:pPr>
            <w:r>
              <w:rPr/>
              <w:t> </w:t>
            </w:r>
            <w:bookmarkStart w:id="279" w:name="xdx_409_eus-gaap--OtherAccruedLiabilitie"/>
            <w:bookmarkEnd w:id="279"/>
          </w:p>
        </w:tc>
      </w:tr>
      <w:tr>
        <w:trPr/>
        <w:tc>
          <w:tcPr>
            <w:tcW w:w="426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449</w:t>
            </w:r>
          </w:p>
        </w:tc>
        <w:tc>
          <w:tcPr>
            <w:tcW w:w="75" w:type="dxa"/>
            <w:tcBorders/>
            <w:shd w:fill="FFFFFF" w:val="clear"/>
            <w:vAlign w:val="center"/>
          </w:tcPr>
          <w:p>
            <w:pPr>
              <w:pStyle w:val="TableContents"/>
              <w:bidi w:val="0"/>
              <w:spacing w:before="0" w:after="283"/>
              <w:jc w:val="left"/>
              <w:rPr/>
            </w:pPr>
            <w:r>
              <w:rPr/>
              <w:t> </w:t>
            </w:r>
            <w:bookmarkStart w:id="280" w:name="xdx_40E_eus-gaap--AccruedLiabilitiesCurr"/>
            <w:bookmarkEnd w:id="280"/>
          </w:p>
        </w:tc>
      </w:tr>
      <w:tr>
        <w:trPr/>
        <w:tc>
          <w:tcPr>
            <w:tcW w:w="4265" w:type="dxa"/>
            <w:tcBorders/>
            <w:shd w:fill="CCEEFF" w:val="clear"/>
            <w:vAlign w:val="center"/>
          </w:tcPr>
          <w:p>
            <w:pPr>
              <w:pStyle w:val="TableContents"/>
              <w:bidi w:val="0"/>
              <w:spacing w:before="0" w:after="283"/>
              <w:jc w:val="left"/>
              <w:rPr/>
            </w:pPr>
            <w:r>
              <w:rPr/>
              <w:t>Total accrued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3,513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2,342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81" w:name="xdx_8A6_znxeTLwrfsma"/>
      <w:bookmarkEnd w:id="28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2" w:name="xdx_805_eus-gaap--DebtDisclosureTextBloc"/>
      <w:bookmarkEnd w:id="282"/>
      <w:r>
        <w:rPr>
          <w:rFonts w:ascii="Times New Roman;Times;Serif" w:hAnsi="Times New Roman;Times;Serif"/>
          <w:b/>
          <w:i w:val="false"/>
          <w:caps w:val="false"/>
          <w:smallCaps w:val="false"/>
          <w:sz w:val="20"/>
        </w:rPr>
        <w:t xml:space="preserve">Note 5. </w:t>
      </w:r>
      <w:bookmarkStart w:id="283" w:name="xdx_82A_zqx1CHry7Gi1"/>
      <w:bookmarkEnd w:id="283"/>
      <w:r>
        <w:rPr>
          <w:rFonts w:ascii="Times New Roman;Times;Serif" w:hAnsi="Times New Roman;Times;Serif"/>
          <w:b/>
          <w:i w:val="false"/>
          <w:caps w:val="false"/>
          <w:smallCaps w:val="false"/>
          <w:sz w:val="20"/>
        </w:rPr>
        <w:t>Convertible Notes and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September 2024 Note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assumed a promissory note originally issued by Peak Bio Inc. (“Peak Bio”) in September 2024 in the amount of $</w:t>
      </w:r>
      <w:bookmarkStart w:id="284" w:name="xdx_900_eus-gaap--NotesPayableCurrent_iI"/>
      <w:bookmarkEnd w:id="284"/>
      <w:r>
        <w:rPr>
          <w:rFonts w:ascii="Times New Roman;Times;Serif" w:hAnsi="Times New Roman;Times;Serif"/>
          <w:b w:val="false"/>
          <w:i w:val="false"/>
          <w:caps w:val="false"/>
          <w:smallCaps w:val="false"/>
          <w:sz w:val="20"/>
        </w:rPr>
        <w:t xml:space="preserve">0.3 million (the “September 2024 Note”) to its former California landlord. Due to the short-term nature of the September 2024 Note, the Company concluded that its carrying value approximated its fair value as of the closing of our business combination with Peak Bio on November 14, 2024 (the “Merger Closing”). The September 2024 Note bears no interest and is </w:t>
      </w:r>
      <w:bookmarkStart w:id="285" w:name="xdx_90F_eus-gaap--DebtInstrumentPaymentT"/>
      <w:bookmarkEnd w:id="285"/>
      <w:r>
        <w:rPr>
          <w:rFonts w:ascii="Times New Roman;Times;Serif" w:hAnsi="Times New Roman;Times;Serif"/>
          <w:b w:val="false"/>
          <w:i w:val="false"/>
          <w:caps w:val="false"/>
          <w:smallCaps w:val="false"/>
          <w:sz w:val="20"/>
        </w:rPr>
        <w:t>payable over twenty equal monthly instalments beginning on November 1, 2024, and expiring on June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outstanding balance on the September 2024 Note was $</w:t>
      </w:r>
      <w:bookmarkStart w:id="286" w:name="xdx_900_eus-gaap--NotesPayableCurrent_iI"/>
      <w:bookmarkEnd w:id="286"/>
      <w:r>
        <w:rPr>
          <w:rFonts w:ascii="Times New Roman;Times;Serif" w:hAnsi="Times New Roman;Times;Serif"/>
          <w:b w:val="false"/>
          <w:i w:val="false"/>
          <w:caps w:val="false"/>
          <w:smallCaps w:val="false"/>
          <w:sz w:val="20"/>
        </w:rPr>
        <w:t>0 and less than $</w:t>
      </w:r>
      <w:bookmarkStart w:id="287" w:name="xdx_903_eus-gaap--NotesPayableCurrent_iI"/>
      <w:bookmarkEnd w:id="287"/>
      <w:r>
        <w:rPr>
          <w:rFonts w:ascii="Times New Roman;Times;Serif" w:hAnsi="Times New Roman;Times;Serif"/>
          <w:b w:val="false"/>
          <w:i w:val="false"/>
          <w:caps w:val="false"/>
          <w:smallCaps w:val="false"/>
          <w:sz w:val="20"/>
        </w:rPr>
        <w:t>0.1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2023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assumed convertible promissory notes issued by Peak Bio in April 2023 in the principal amount of a total of $</w:t>
      </w:r>
      <w:bookmarkStart w:id="288" w:name="xdx_90F_eus-gaap--ConvertibleNotesPayabl"/>
      <w:bookmarkEnd w:id="288"/>
      <w:r>
        <w:rPr>
          <w:rFonts w:ascii="Times New Roman;Times;Serif" w:hAnsi="Times New Roman;Times;Serif"/>
          <w:b w:val="false"/>
          <w:i w:val="false"/>
          <w:caps w:val="false"/>
          <w:smallCaps w:val="false"/>
          <w:sz w:val="20"/>
        </w:rPr>
        <w:t>0.7 million (the “April 2023 Convertible Notes”). The April 2023 Convertible Notes permitted the holder to convert the outstanding principal and accrued interest at any time at a price of $</w:t>
      </w:r>
      <w:bookmarkStart w:id="289" w:name="xdx_909_eus-gaap--SharePrice_iI_pid_c202"/>
      <w:bookmarkEnd w:id="289"/>
      <w:r>
        <w:rPr>
          <w:rFonts w:ascii="Times New Roman;Times;Serif" w:hAnsi="Times New Roman;Times;Serif"/>
          <w:b w:val="false"/>
          <w:i w:val="false"/>
          <w:caps w:val="false"/>
          <w:smallCaps w:val="false"/>
          <w:sz w:val="20"/>
        </w:rPr>
        <w:t>81.60 per ADS (representing $</w:t>
      </w:r>
      <w:bookmarkStart w:id="290" w:name="xdx_90C_eus-gaap--DebtInstrumentConverti"/>
      <w:bookmarkEnd w:id="290"/>
      <w:r>
        <w:rPr>
          <w:rFonts w:ascii="Times New Roman;Times;Serif" w:hAnsi="Times New Roman;Times;Serif"/>
          <w:b w:val="false"/>
          <w:i w:val="false"/>
          <w:caps w:val="false"/>
          <w:smallCaps w:val="false"/>
          <w:sz w:val="20"/>
        </w:rPr>
        <w:t xml:space="preserve">0.00102 per underlying Ordinary Share of the Company). Due to the short-term nature of the April 2023 Convertible Notes, the Company concluded that its carrying value approximated its fair value as of the Merger Closing on November 14, 2024. The April 2023 Convertible Notes were originally due on October 31, 2024, and bore interest at a default rate of </w:t>
      </w:r>
      <w:bookmarkStart w:id="291" w:name="xdx_906_eus-gaap--DebtInstrumentInterest"/>
      <w:bookmarkEnd w:id="291"/>
      <w:r>
        <w:rPr>
          <w:rFonts w:ascii="Times New Roman;Times;Serif" w:hAnsi="Times New Roman;Times;Serif"/>
          <w:b w:val="false"/>
          <w:i w:val="false"/>
          <w:caps w:val="false"/>
          <w:smallCaps w:val="false"/>
          <w:sz w:val="20"/>
        </w:rPr>
        <w:t>10%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embedded conversion and other features within the April 2023 Convertible Notes to determine whether any of the embedded features should be bifurcated from the host instrument and accounted for as a derivative at fair value. Based on management’s evaluation, the Company determined that the April 2023 Convertible Notes were not issued at a substantial premium and none of the embedded features were required to be bifurcated and accounted for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Company entered into a letter agreement (the “April 2023 Convertible Notes and Warrants Amendment”) with the holders of the April 2023 Convertible Notes to (i) extend the maturity date of the April 2023 Convertible Notes to August 31, 2026, (ii) amend the conversion price of the April 2023 Convertible Notes to $</w:t>
      </w:r>
      <w:bookmarkStart w:id="292" w:name="xdx_907_eus-gaap--SharePrice_iI_pid_c202"/>
      <w:bookmarkEnd w:id="292"/>
      <w:r>
        <w:rPr>
          <w:rFonts w:ascii="Times New Roman;Times;Serif" w:hAnsi="Times New Roman;Times;Serif"/>
          <w:b w:val="false"/>
          <w:i w:val="false"/>
          <w:caps w:val="false"/>
          <w:smallCaps w:val="false"/>
          <w:sz w:val="20"/>
        </w:rPr>
        <w:t>32.40 per ADS (representing $</w:t>
      </w:r>
      <w:bookmarkStart w:id="293" w:name="xdx_908_eus-gaap--DebtInstrumentConverti"/>
      <w:bookmarkEnd w:id="293"/>
      <w:r>
        <w:rPr>
          <w:rFonts w:ascii="Times New Roman;Times;Serif" w:hAnsi="Times New Roman;Times;Serif"/>
          <w:b w:val="false"/>
          <w:i w:val="false"/>
          <w:caps w:val="false"/>
          <w:smallCaps w:val="false"/>
          <w:sz w:val="20"/>
        </w:rPr>
        <w:t>0.000405 per underlying Ordinary Share) and permit the holders of the April 2023 Convertible Notes to voluntarily convert, in whole or in part, the outstanding principal and accrued but unpaid interest on the April 2023 Convertible Notes into ADSs at any time, (iii) extend the expiration date of warrants held by the April 2023 Convertible Note holders (“April 2023 Peak Bio Convertible Noteholder Warrants”) from April 28, 2028 to August 31, 2030, and (iv) amend the exercise price of the April 2023 Peak Bio Convertible Noteholder Warrants to $</w:t>
      </w:r>
      <w:bookmarkStart w:id="294" w:name="xdx_903_eus-gaap--SharePrice_iI_pid_c202"/>
      <w:bookmarkEnd w:id="294"/>
      <w:r>
        <w:rPr>
          <w:rFonts w:ascii="Times New Roman;Times;Serif" w:hAnsi="Times New Roman;Times;Serif"/>
          <w:b w:val="false"/>
          <w:i w:val="false"/>
          <w:caps w:val="false"/>
          <w:smallCaps w:val="false"/>
          <w:sz w:val="20"/>
        </w:rPr>
        <w:t>32.40 per ADS (representing $</w:t>
      </w:r>
      <w:bookmarkStart w:id="295" w:name="xdx_904_eus-gaap--DebtInstrumentConverti"/>
      <w:bookmarkEnd w:id="295"/>
      <w:r>
        <w:rPr>
          <w:rFonts w:ascii="Times New Roman;Times;Serif" w:hAnsi="Times New Roman;Times;Serif"/>
          <w:b w:val="false"/>
          <w:i w:val="false"/>
          <w:caps w:val="false"/>
          <w:smallCaps w:val="false"/>
          <w:sz w:val="20"/>
        </w:rPr>
        <w:t>0.000405 per underlying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April 2023 Convertible Notes and Warrants Amendment as a debt extinguishment in accordance with ASC 470. As the present value of the future cash flows was substantially different than the net carrying value of the original debt, a loss on debt extinguishment of less than $</w:t>
      </w:r>
      <w:bookmarkStart w:id="296" w:name="xdx_906_eus-gaap--DebtConversionOriginal"/>
      <w:bookmarkEnd w:id="296"/>
      <w:r>
        <w:rPr>
          <w:rFonts w:ascii="Times New Roman;Times;Serif" w:hAnsi="Times New Roman;Times;Serif"/>
          <w:b w:val="false"/>
          <w:i w:val="false"/>
          <w:caps w:val="false"/>
          <w:smallCaps w:val="false"/>
          <w:sz w:val="20"/>
        </w:rPr>
        <w:t>0.1 million was recognized during the three months ended September 30, 2025. The discount of less than $</w:t>
      </w:r>
      <w:bookmarkStart w:id="297" w:name="xdx_908_eus-gaap--InterestExpenseDebtExc"/>
      <w:bookmarkEnd w:id="297"/>
      <w:r>
        <w:rPr>
          <w:rFonts w:ascii="Times New Roman;Times;Serif" w:hAnsi="Times New Roman;Times;Serif"/>
          <w:b w:val="false"/>
          <w:i w:val="false"/>
          <w:caps w:val="false"/>
          <w:smallCaps w:val="false"/>
          <w:sz w:val="20"/>
        </w:rPr>
        <w:t>0.1 million is being amortized as interest expense over the term of the convertible notes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in connection with the acquisition of Peak Bio, the April 2023 Peak Bio Convertible Noteholder Warrants were accounted for as a liability, as the April 2023 Peak Bio Convertible Noteholder Warrants were not considered indexed to the Company’s own stock in the manner contemplated by ASC 815-40-15, </w:t>
      </w:r>
      <w:r>
        <w:rPr>
          <w:rFonts w:ascii="Times New Roman;Times;Serif" w:hAnsi="Times New Roman;Times;Serif"/>
          <w:b w:val="false"/>
          <w:i/>
          <w:caps w:val="false"/>
          <w:smallCaps w:val="false"/>
          <w:sz w:val="20"/>
        </w:rPr>
        <w:t>Determining Whether an Instrument (or Embedded Feature) Is Indexed to an Entity’s Own Stock</w:t>
      </w:r>
      <w:r>
        <w:rPr>
          <w:rFonts w:ascii="Times New Roman;Times;Serif" w:hAnsi="Times New Roman;Times;Serif"/>
          <w:b w:val="false"/>
          <w:i w:val="false"/>
          <w:caps w:val="false"/>
          <w:smallCaps w:val="false"/>
          <w:sz w:val="20"/>
        </w:rPr>
        <w:t xml:space="preserve">. Following the April 2023 Convertible Notes and Warrants Amendment on September 19, 2025, the Company determined that the amended April 2023 Peak Bio Convertible Noteholder Warrants for the issuance of </w:t>
      </w:r>
      <w:bookmarkStart w:id="298" w:name="xdx_90A_eus-gaap--ClassOfWarrantOrRightO"/>
      <w:bookmarkEnd w:id="298"/>
      <w:r>
        <w:rPr>
          <w:rFonts w:ascii="Times New Roman;Times;Serif" w:hAnsi="Times New Roman;Times;Serif"/>
          <w:b w:val="false"/>
          <w:i w:val="false"/>
          <w:caps w:val="false"/>
          <w:smallCaps w:val="false"/>
          <w:sz w:val="20"/>
        </w:rPr>
        <w:t xml:space="preserve">8,560 ADSs (equivalent to </w:t>
      </w:r>
      <w:bookmarkStart w:id="299" w:name="xdx_904_eus-gaap--CommonStockSharesIssue"/>
      <w:bookmarkEnd w:id="299"/>
      <w:r>
        <w:rPr>
          <w:rFonts w:ascii="Times New Roman;Times;Serif" w:hAnsi="Times New Roman;Times;Serif"/>
          <w:b w:val="false"/>
          <w:i w:val="false"/>
          <w:caps w:val="false"/>
          <w:smallCaps w:val="false"/>
          <w:sz w:val="20"/>
        </w:rPr>
        <w:t>684,840,000 Ordinary Shares) met the requirements to be considered indexed to the Company’s own stock and therefore were reclassified to equity. The fair value of the warrant liability, immediately prior to the modification, was $</w:t>
      </w:r>
      <w:bookmarkStart w:id="300" w:name="xdx_90B_eus-gaap--FairValueAdjustmentOfW"/>
      <w:bookmarkEnd w:id="300"/>
      <w:r>
        <w:rPr>
          <w:rFonts w:ascii="Times New Roman;Times;Serif" w:hAnsi="Times New Roman;Times;Serif"/>
          <w:b w:val="false"/>
          <w:i w:val="false"/>
          <w:caps w:val="false"/>
          <w:smallCaps w:val="false"/>
          <w:sz w:val="20"/>
        </w:rPr>
        <w:t>109,700 at the reclassification date. The Company determined the fair value of the April 2023 Peak Bio Convertible Noteholder Warrants after the modification, using a Black Scholes Option Pricing Model was $</w:t>
      </w:r>
      <w:bookmarkStart w:id="301" w:name="xdx_903_eus-gaap--AdditionalCollateralAg"/>
      <w:bookmarkEnd w:id="301"/>
      <w:r>
        <w:rPr>
          <w:rFonts w:ascii="Times New Roman;Times;Serif" w:hAnsi="Times New Roman;Times;Serif"/>
          <w:b w:val="false"/>
          <w:i w:val="false"/>
          <w:caps w:val="false"/>
          <w:smallCaps w:val="false"/>
          <w:sz w:val="20"/>
        </w:rPr>
        <w:t>191,800 based on a stock price of $</w:t>
      </w:r>
      <w:bookmarkStart w:id="302" w:name="xdx_904_eus-gaap--WarrantsAndRightsOutst"/>
      <w:bookmarkEnd w:id="302"/>
      <w:r>
        <w:rPr>
          <w:rFonts w:ascii="Times New Roman;Times;Serif" w:hAnsi="Times New Roman;Times;Serif"/>
          <w:b w:val="false"/>
          <w:i w:val="false"/>
          <w:caps w:val="false"/>
          <w:smallCaps w:val="false"/>
          <w:sz w:val="20"/>
        </w:rPr>
        <w:t xml:space="preserve">0.81, expected volatility of </w:t>
      </w:r>
      <w:bookmarkStart w:id="303" w:name="xdx_903_eus-gaap--WarrantsAndRightsOutst"/>
      <w:bookmarkEnd w:id="303"/>
      <w:r>
        <w:rPr>
          <w:rFonts w:ascii="Times New Roman;Times;Serif" w:hAnsi="Times New Roman;Times;Serif"/>
          <w:b w:val="false"/>
          <w:i w:val="false"/>
          <w:caps w:val="false"/>
          <w:smallCaps w:val="false"/>
          <w:sz w:val="20"/>
        </w:rPr>
        <w:t xml:space="preserve">86%, a risk-free rate of </w:t>
      </w:r>
      <w:bookmarkStart w:id="304" w:name="xdx_907_eus-gaap--WarrantsAndRightsOutst"/>
      <w:bookmarkEnd w:id="304"/>
      <w:r>
        <w:rPr>
          <w:rFonts w:ascii="Times New Roman;Times;Serif" w:hAnsi="Times New Roman;Times;Serif"/>
          <w:b w:val="false"/>
          <w:i w:val="false"/>
          <w:caps w:val="false"/>
          <w:smallCaps w:val="false"/>
          <w:sz w:val="20"/>
        </w:rPr>
        <w:t xml:space="preserve">3.68% and an expected term of </w:t>
      </w:r>
      <w:bookmarkStart w:id="305" w:name="xdx_909_eus-gaap--WarrantsAndRightsOutst"/>
      <w:bookmarkEnd w:id="305"/>
      <w:r>
        <w:rPr>
          <w:rFonts w:ascii="Times New Roman;Times;Serif" w:hAnsi="Times New Roman;Times;Serif"/>
          <w:b w:val="false"/>
          <w:i w:val="false"/>
          <w:caps w:val="false"/>
          <w:smallCaps w:val="false"/>
          <w:sz w:val="20"/>
        </w:rPr>
        <w:t>5 years. The change in fair value of $</w:t>
      </w:r>
      <w:bookmarkStart w:id="306" w:name="xdx_909_eus-gaap--FairValueAdjustmentOfW"/>
      <w:bookmarkEnd w:id="306"/>
      <w:r>
        <w:rPr>
          <w:rFonts w:ascii="Times New Roman;Times;Serif" w:hAnsi="Times New Roman;Times;Serif"/>
          <w:b w:val="false"/>
          <w:i w:val="false"/>
          <w:caps w:val="false"/>
          <w:smallCaps w:val="false"/>
          <w:sz w:val="20"/>
        </w:rPr>
        <w:t>82,100 was recognized as additional paid in capital during the three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interest expense, including amortization of the discount of less than $</w:t>
      </w:r>
      <w:bookmarkStart w:id="307" w:name="xdx_90B_eus-gaap--InterestExpenseDebt_pn"/>
      <w:bookmarkStart w:id="308" w:name="xdx_907_eus-gaap--InterestExpenseDebt_pn"/>
      <w:bookmarkStart w:id="309" w:name="xdx_907_eus-gaap--InterestExpenseDebt_pn"/>
      <w:bookmarkStart w:id="310" w:name="xdx_901_eus-gaap--InterestExpenseDebt_pn"/>
      <w:bookmarkEnd w:id="307"/>
      <w:bookmarkEnd w:id="308"/>
      <w:bookmarkEnd w:id="309"/>
      <w:bookmarkEnd w:id="310"/>
      <w:r>
        <w:rPr>
          <w:rFonts w:ascii="Times New Roman;Times;Serif" w:hAnsi="Times New Roman;Times;Serif"/>
          <w:b w:val="false"/>
          <w:i w:val="false"/>
          <w:caps w:val="false"/>
          <w:smallCaps w:val="false"/>
          <w:sz w:val="20"/>
        </w:rPr>
        <w:t>0.1 million, in each of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accrued interest on the April 2023 Convertible Notes of less than $</w:t>
      </w:r>
      <w:bookmarkStart w:id="311" w:name="xdx_90F_eus-gaap--InterestPayableCurrent"/>
      <w:bookmarkStart w:id="312" w:name="xdx_909_eus-gaap--InterestPayableCurrent"/>
      <w:bookmarkEnd w:id="311"/>
      <w:bookmarkEnd w:id="312"/>
      <w:r>
        <w:rPr>
          <w:rFonts w:ascii="Times New Roman;Times;Serif" w:hAnsi="Times New Roman;Times;Serif"/>
          <w:b w:val="false"/>
          <w:i w:val="false"/>
          <w:caps w:val="false"/>
          <w:smallCaps w:val="false"/>
          <w:sz w:val="20"/>
        </w:rPr>
        <w:t>0.1 million are presented within accrued expenses in the Company’s condensed unaudited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3" w:name="xdx_809_eus-gaap--StockholdersEquityNote"/>
      <w:bookmarkEnd w:id="313"/>
      <w:r>
        <w:rPr>
          <w:rFonts w:ascii="Times New Roman;Times;Serif" w:hAnsi="Times New Roman;Times;Serif"/>
          <w:b/>
          <w:i w:val="false"/>
          <w:caps w:val="false"/>
          <w:smallCaps w:val="false"/>
          <w:sz w:val="20"/>
        </w:rPr>
        <w:t xml:space="preserve">Note 6. </w:t>
      </w:r>
      <w:bookmarkStart w:id="314" w:name="xdx_829_zdK7B0iOLnS2"/>
      <w:bookmarkEnd w:id="314"/>
      <w:r>
        <w:rPr>
          <w:rFonts w:ascii="Times New Roman;Times;Serif" w:hAnsi="Times New Roman;Times;Serif"/>
          <w:b/>
          <w:i w:val="false"/>
          <w:caps w:val="false"/>
          <w:smallCaps w:val="false"/>
          <w:sz w:val="20"/>
        </w:rPr>
        <w:t>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Company’s shareholders approved an increase to the number of authorized ordinary shares, par value $</w:t>
      </w:r>
      <w:bookmarkStart w:id="315" w:name="xdx_90C_eus-gaap--CommonStockParOrStated"/>
      <w:bookmarkEnd w:id="315"/>
      <w:r>
        <w:rPr>
          <w:rFonts w:ascii="Times New Roman;Times;Serif" w:hAnsi="Times New Roman;Times;Serif"/>
          <w:b w:val="false"/>
          <w:i w:val="false"/>
          <w:caps w:val="false"/>
          <w:smallCaps w:val="false"/>
          <w:sz w:val="20"/>
        </w:rPr>
        <w:t xml:space="preserve">0.000000005 (the “Ordinary Shares”). The Company can issue up to </w:t>
      </w:r>
      <w:bookmarkStart w:id="316" w:name="xdx_90B_eus-gaap--CommonStockSharesAutho"/>
      <w:bookmarkEnd w:id="316"/>
      <w:r>
        <w:rPr>
          <w:rFonts w:ascii="Times New Roman;Times;Serif" w:hAnsi="Times New Roman;Times;Serif"/>
          <w:b w:val="false"/>
          <w:i w:val="false"/>
          <w:caps w:val="false"/>
          <w:smallCaps w:val="false"/>
          <w:sz w:val="20"/>
        </w:rPr>
        <w:t xml:space="preserve">4,000,000,000,000 ordinary shares plus </w:t>
      </w:r>
      <w:bookmarkStart w:id="317" w:name="xdx_901_eus-gaap--CommonStockSharesAutho"/>
      <w:bookmarkEnd w:id="317"/>
      <w:r>
        <w:rPr>
          <w:rFonts w:ascii="Times New Roman;Times;Serif" w:hAnsi="Times New Roman;Times;Serif"/>
          <w:b w:val="false"/>
          <w:i w:val="false"/>
          <w:caps w:val="false"/>
          <w:smallCaps w:val="false"/>
          <w:sz w:val="20"/>
        </w:rPr>
        <w:t xml:space="preserve">365,687,180,943 ordinary shares previously granted under previous allotments. All previously unallocated authorized shares were revoked. Accordingly, as of June 30, 2026, the Company was authorized to issue up to </w:t>
      </w:r>
      <w:bookmarkStart w:id="318" w:name="xdx_900_eus-gaap--CommonStockSharesAutho"/>
      <w:bookmarkEnd w:id="318"/>
      <w:r>
        <w:rPr>
          <w:rFonts w:ascii="Times New Roman;Times;Serif" w:hAnsi="Times New Roman;Times;Serif"/>
          <w:b w:val="false"/>
          <w:i w:val="false"/>
          <w:caps w:val="false"/>
          <w:smallCaps w:val="false"/>
          <w:sz w:val="20"/>
        </w:rPr>
        <w:t>4,365,687,180,943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Currently, each ADS represents </w:t>
      </w:r>
      <w:bookmarkStart w:id="319" w:name="xdx_908_ecustom--NumberOfOrdinarySharesR"/>
      <w:bookmarkEnd w:id="319"/>
      <w:r>
        <w:rPr>
          <w:rFonts w:ascii="Times New Roman;Times;Serif" w:hAnsi="Times New Roman;Times;Serif"/>
          <w:b w:val="false"/>
          <w:i w:val="false"/>
          <w:caps w:val="false"/>
          <w:smallCaps w:val="false"/>
          <w:sz w:val="20"/>
        </w:rPr>
        <w:t>80,000 ordinary shares (the “ADS Ratio”). All ADS and per ADS amounts in the accompanying condensed consolidated financial statements reflect the ADS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White Lion Ordinary Share Purchase and Registration Rights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2025 (the “Execution Date”), the Company entered into an Ordinary Share Purchase Agreement (the “ELOC Purchase Agreement”) and a Registration Rights Agreement (the “White Lion RRA”) with White Lion Capital, LLC, a Delaware limited liability company (“White Lion”). Pursuant to the ELOC Purchase Agreement, the Company has the right, but not the obligation, to require White Lion to purchase, from time to time, up to $</w:t>
      </w:r>
      <w:bookmarkStart w:id="320" w:name="xdx_900_eus-gaap--ProceedsFromIssuanceOf"/>
      <w:bookmarkEnd w:id="320"/>
      <w:r>
        <w:rPr>
          <w:rFonts w:ascii="Times New Roman;Times;Serif" w:hAnsi="Times New Roman;Times;Serif"/>
          <w:b w:val="false"/>
          <w:i w:val="false"/>
          <w:caps w:val="false"/>
          <w:smallCaps w:val="false"/>
          <w:sz w:val="20"/>
        </w:rPr>
        <w:t>25,000,000 in aggregate gross purchase price of newly issued Ordinary Shares (the “Commitment Amount”), which may be exchanged for ADSs, subject to certain limitations and conditions set forth in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 right to commence any sales of Ordinary Shares to White Lion under the ELOC Purchase Agreement until all conditions to the Company’s right to commence sales, as set forth in the ELOC Purchase Agreement, have been satisfied, including that a registration statement covering the resale of such shares is declared effective by the SEC and the final form of prospectus is filed with the SEC. Over the period ending on the earlier of (i) the date on which the Purchaser shall have purchased Ordinary Shares pursuant to the ELOC Purchase Agreement for an aggregate purchase price equal to the Commitment Amount or (ii) August 29, 2028 (the “Commitment Period”), subject to the conditions of the ELOC Purchase Agreement, the Company will control the timing and amount of any sales of Ordinary Shares to the Purchaser. Actual sales of Ordinary Shares to the Purchaser under the ELOC Purchase Agreement will depend on a variety of factors to be determined by the Company from time to time, including, among others, market conditions, the trading price of the ADSs, and determinations made by the Company as to appropriate levels and sources of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Ordinary Shares that the Company elects to sell to the Purchaser pursuant to the ELOC Purchase Agreement will be determined based on the type of notice to purchase ADSs under the ELOC Purchase Agreement (each, a “Purchase Notice”) issued,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Purchase Option 1: The lowest traded price of the ADSs on the notice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Rapid Purchase Option 2: </w:t>
            </w:r>
            <w:bookmarkStart w:id="321" w:name="xdx_90A_ecustom--TradingPricePercentage_"/>
            <w:bookmarkEnd w:id="321"/>
            <w:r>
              <w:rPr>
                <w:rFonts w:ascii="Times New Roman;Times;Serif" w:hAnsi="Times New Roman;Times;Serif"/>
                <w:b w:val="false"/>
                <w:i w:val="false"/>
                <w:caps w:val="false"/>
                <w:smallCaps w:val="false"/>
                <w:sz w:val="20"/>
              </w:rPr>
              <w:t>97% of the lowest traded price of the ADSs during the two hours following the Purchaser’s confirmed receipt of the notice.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Rapid Purchase Option 3: The lowest of (i) the opening price of the ADSs on the notice date, (ii) the closing price of the ADSs on the prior business day, or (iii) the volume-weighted average price (VWAP) on the notice date, with a </w:t>
            </w:r>
            <w:bookmarkStart w:id="322" w:name="xdx_90C_ecustom--TradingPriceDiscountPer"/>
            <w:bookmarkEnd w:id="322"/>
            <w:r>
              <w:rPr>
                <w:rFonts w:ascii="Times New Roman;Times;Serif" w:hAnsi="Times New Roman;Times;Serif"/>
                <w:b w:val="false"/>
                <w:i w:val="false"/>
                <w:caps w:val="false"/>
                <w:smallCaps w:val="false"/>
                <w:sz w:val="20"/>
              </w:rPr>
              <w:t>20% discount if the trading price is below the opening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VWAP Purchase: </w:t>
            </w:r>
            <w:bookmarkStart w:id="323" w:name="xdx_903_ecustom--TradingPricePercentage_"/>
            <w:bookmarkEnd w:id="323"/>
            <w:r>
              <w:rPr>
                <w:rFonts w:ascii="Times New Roman;Times;Serif" w:hAnsi="Times New Roman;Times;Serif"/>
                <w:b w:val="false"/>
                <w:i w:val="false"/>
                <w:caps w:val="false"/>
                <w:smallCaps w:val="false"/>
                <w:sz w:val="20"/>
              </w:rPr>
              <w:t>97% of the lowest daily VWAP during a two-day valuation period for the first $</w:t>
            </w:r>
            <w:bookmarkStart w:id="324" w:name="xdx_908_ecustom--VolumeWeightedAveragePr"/>
            <w:bookmarkEnd w:id="324"/>
            <w:r>
              <w:rPr>
                <w:rFonts w:ascii="Times New Roman;Times;Serif" w:hAnsi="Times New Roman;Times;Serif"/>
                <w:b w:val="false"/>
                <w:i w:val="false"/>
                <w:caps w:val="false"/>
                <w:smallCaps w:val="false"/>
                <w:sz w:val="20"/>
              </w:rPr>
              <w:t xml:space="preserve">12,500,000 of closings, and </w:t>
            </w:r>
            <w:bookmarkStart w:id="325" w:name="xdx_901_ecustom--TradingPercentageTherea"/>
            <w:bookmarkEnd w:id="325"/>
            <w:r>
              <w:rPr>
                <w:rFonts w:ascii="Times New Roman;Times;Serif" w:hAnsi="Times New Roman;Times;Serif"/>
                <w:b w:val="false"/>
                <w:i w:val="false"/>
                <w:caps w:val="false"/>
                <w:smallCaps w:val="false"/>
                <w:sz w:val="20"/>
              </w:rPr>
              <w:t>98% thereafter.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 event may the Company issue to the Purchaser under the ELOC Purchase Agreement more than </w:t>
      </w:r>
      <w:bookmarkStart w:id="326" w:name="xdx_907_eus-gaap--SharesIssued_iI_pid_c2"/>
      <w:bookmarkEnd w:id="326"/>
      <w:r>
        <w:rPr>
          <w:rFonts w:ascii="Times New Roman;Times;Serif" w:hAnsi="Times New Roman;Times;Serif"/>
          <w:b w:val="false"/>
          <w:i w:val="false"/>
          <w:caps w:val="false"/>
          <w:smallCaps w:val="false"/>
          <w:sz w:val="20"/>
        </w:rPr>
        <w:t xml:space="preserve">13,039,369,358 Ordinary Shares (the “Exchange Cap”), which equals </w:t>
      </w:r>
      <w:bookmarkStart w:id="327" w:name="xdx_904_eus-gaap--DerivativeExchangeRate"/>
      <w:bookmarkEnd w:id="327"/>
      <w:r>
        <w:rPr>
          <w:rFonts w:ascii="Times New Roman;Times;Serif" w:hAnsi="Times New Roman;Times;Serif"/>
          <w:b w:val="false"/>
          <w:i w:val="false"/>
          <w:caps w:val="false"/>
          <w:smallCaps w:val="false"/>
          <w:sz w:val="20"/>
        </w:rPr>
        <w:t>19.99% of the Company’s outstanding Ordinary Shares as of the Execution Date, unless the Company obtains shareholder approval to issue shares in excess of the Exchange Cap or the average price paid for all Ordinary Shares issued under the agreement is equal to or greater than the Minimum Price (as defined in the ELOC Purchase Agreement). In any event, the ELOC Purchase Agreement provides that the Company may not issue or sell any Ordinary Shares if such issuance or sale would breach any applicable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ELOC Purchase Agreement prohibits the Company from directing the Purchaser to purchase any Ordinary Shares if those shares, when aggregated with all other Ordinary Shares then beneficially owned by the Purchaser (as calculated pursuant to Section 13(d) of the Securities Exchange Act of 1934, as amended), would result in the Purchaser beneficially owning more than </w:t>
      </w:r>
      <w:bookmarkStart w:id="328" w:name="xdx_909_ecustom--BeneficialOwnershipLimi"/>
      <w:bookmarkEnd w:id="328"/>
      <w:r>
        <w:rPr>
          <w:rFonts w:ascii="Times New Roman;Times;Serif" w:hAnsi="Times New Roman;Times;Serif"/>
          <w:b w:val="false"/>
          <w:i w:val="false"/>
          <w:caps w:val="false"/>
          <w:smallCaps w:val="false"/>
          <w:sz w:val="20"/>
        </w:rPr>
        <w:t xml:space="preserve">4.99% of the outstanding Ordinary Shares (the “Beneficial Ownership Limitation”), which may be increased to </w:t>
      </w:r>
      <w:bookmarkStart w:id="329" w:name="xdx_90B_ecustom--BeneficialOwnershipLimi"/>
      <w:bookmarkEnd w:id="329"/>
      <w:r>
        <w:rPr>
          <w:rFonts w:ascii="Times New Roman;Times;Serif" w:hAnsi="Times New Roman;Times;Serif"/>
          <w:b w:val="false"/>
          <w:i w:val="false"/>
          <w:caps w:val="false"/>
          <w:smallCaps w:val="false"/>
          <w:sz w:val="20"/>
        </w:rPr>
        <w:t>9.99% at the Purchaser’s discretion upon 61 days’ prior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0" w:name="xdx_902_eus-gaap--SignificantPurchaseCom"/>
      <w:bookmarkEnd w:id="330"/>
      <w:r>
        <w:rPr>
          <w:rFonts w:ascii="Times New Roman;Times;Serif" w:hAnsi="Times New Roman;Times;Serif"/>
          <w:b w:val="false"/>
          <w:i w:val="false"/>
          <w:caps w:val="false"/>
          <w:smallCaps w:val="false"/>
          <w:sz w:val="20"/>
        </w:rPr>
        <w:t>As consideration for the Purchaser’s execution of the ELOC Purchase Agreement, the Company will pay a document preparation fee of $</w:t>
      </w:r>
      <w:bookmarkStart w:id="331" w:name="xdx_905_eus-gaap--DebtInstrumentFeeAmoun"/>
      <w:bookmarkEnd w:id="331"/>
      <w:r>
        <w:rPr>
          <w:rFonts w:ascii="Times New Roman;Times;Serif" w:hAnsi="Times New Roman;Times;Serif"/>
          <w:b w:val="false"/>
          <w:i w:val="false"/>
          <w:caps w:val="false"/>
          <w:smallCaps w:val="false"/>
          <w:sz w:val="20"/>
        </w:rPr>
        <w:t>15,000, to be deducted from the proceeds related to the first Purchase Notice, and cash commitment fees of $37,500 when aggregate Purchase Notices exceed $500,000 and $87,500 (or $125,000 if $1,000,000 is reached first) when aggregate Purchase Notices exceed $1,000,000. Additionally, if the Company fails to close at least $625,000 in purchases by the 180th day after the Registration Statement’s effective date, the Company will issue ADSs, represented by Ordinary Shares, equivalent to $75,000 divided by the lowest traded ADS price during a 10-day period preceding that date (the “Commitment Shares”).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ELOC Purchase Agreement, the Company and the Purchaser entered into the White Lion RRA, pursuant to which the Company agreed to file a registration statement on Form S-1 (or any successor form) with the SEC within thirty (30) calendar days following August 29, 2025, to register the resale of the maximum number of Registrable Securities (as such term is defined in the White Lion RRA) (including the Ordinary Shares, Commitment Shares, and ADSs representing such shares) permitted by applicable SEC rules (the “ELOC Resale Registration Statement”). The Company filed the ELOC Resale Registration Statement on August 29, 2025, which was subsequently amended on June 26, 2026, and was declared effective by the SEC on July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was accounted for as a standby equity purchase agreement under ASC 815 as it includes an embedded put option and an embedded forward option. The put option is recognized on inception, and the forward option is recognized upon issuance of notice for the sale of the Company’s Common Stock. The fair value of the derivative liability related to the embedded put option (“White Lion Derivative Liability) was $</w:t>
      </w:r>
      <w:bookmarkStart w:id="332" w:name="xdx_90E_eus-gaap--DerivativeLiabilityFai"/>
      <w:bookmarkEnd w:id="332"/>
      <w:r>
        <w:rPr>
          <w:rFonts w:ascii="Times New Roman;Times;Serif" w:hAnsi="Times New Roman;Times;Serif"/>
          <w:b w:val="false"/>
          <w:i w:val="false"/>
          <w:caps w:val="false"/>
          <w:smallCaps w:val="false"/>
          <w:sz w:val="20"/>
        </w:rPr>
        <w:t>100,000 at the inception of the agreement. The fair value of the White Lion Derivative Liability was determined using a Monte Carlo simulation based on the projected stock price of $</w:t>
      </w:r>
      <w:bookmarkStart w:id="333" w:name="xdx_901_eus-gaap--DerivativeLiabilityMea"/>
      <w:bookmarkEnd w:id="333"/>
      <w:r>
        <w:rPr>
          <w:rFonts w:ascii="Times New Roman;Times;Serif" w:hAnsi="Times New Roman;Times;Serif"/>
          <w:b w:val="false"/>
          <w:i w:val="false"/>
          <w:caps w:val="false"/>
          <w:smallCaps w:val="false"/>
          <w:sz w:val="20"/>
        </w:rPr>
        <w:t xml:space="preserve">0.76, expected volatility of </w:t>
      </w:r>
      <w:bookmarkStart w:id="334" w:name="xdx_902_eus-gaap--DerivativeLiabilityMea"/>
      <w:bookmarkEnd w:id="334"/>
      <w:r>
        <w:rPr>
          <w:rFonts w:ascii="Times New Roman;Times;Serif" w:hAnsi="Times New Roman;Times;Serif"/>
          <w:b w:val="false"/>
          <w:i w:val="false"/>
          <w:caps w:val="false"/>
          <w:smallCaps w:val="false"/>
          <w:sz w:val="20"/>
        </w:rPr>
        <w:t xml:space="preserve">97%, risk-free rate of </w:t>
      </w:r>
      <w:bookmarkStart w:id="335" w:name="xdx_90A_eus-gaap--DerivativeLiabilityMea"/>
      <w:bookmarkEnd w:id="335"/>
      <w:r>
        <w:rPr>
          <w:rFonts w:ascii="Times New Roman;Times;Serif" w:hAnsi="Times New Roman;Times;Serif"/>
          <w:b w:val="false"/>
          <w:i w:val="false"/>
          <w:caps w:val="false"/>
          <w:smallCaps w:val="false"/>
          <w:sz w:val="20"/>
        </w:rPr>
        <w:t xml:space="preserve">3.52% and discounted at </w:t>
      </w:r>
      <w:bookmarkStart w:id="336" w:name="xdx_909_eus-gaap--DerivativeLiabilityMea"/>
      <w:bookmarkEnd w:id="336"/>
      <w:r>
        <w:rPr>
          <w:rFonts w:ascii="Times New Roman;Times;Serif" w:hAnsi="Times New Roman;Times;Serif"/>
          <w:b w:val="false"/>
          <w:i w:val="false"/>
          <w:caps w:val="false"/>
          <w:smallCaps w:val="false"/>
          <w:sz w:val="20"/>
        </w:rPr>
        <w:t>71.3% for the probability of the Company timely filing all SEC documents and meeting the NASDAQ listing requirements. At June 30, 2026, the White Lion Derivative Liability was remeasured and had no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no outstanding purchase notices issued to White 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2025 Registered Direct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Company closed a registered direct offering (the “December 2025 Registered Direct Offering”) with institutional and non-institutional investors providing for the issuance and sale </w:t>
      </w:r>
      <w:bookmarkStart w:id="337" w:name="xdx_90B_eus-gaap--StockIssuedDuringPerio"/>
      <w:bookmarkEnd w:id="337"/>
      <w:r>
        <w:rPr>
          <w:rFonts w:ascii="Times New Roman;Times;Serif" w:hAnsi="Times New Roman;Times;Serif"/>
          <w:b w:val="false"/>
          <w:i w:val="false"/>
          <w:caps w:val="false"/>
          <w:smallCaps w:val="false"/>
          <w:sz w:val="20"/>
        </w:rPr>
        <w:t>19,057,418,000 ordinary shares of the Company (</w:t>
      </w:r>
      <w:bookmarkStart w:id="338" w:name="xdx_906_eus-gaap--StockIssuedDuringPerio"/>
      <w:bookmarkEnd w:id="338"/>
      <w:r>
        <w:rPr>
          <w:rFonts w:ascii="Times New Roman;Times;Serif" w:hAnsi="Times New Roman;Times;Serif"/>
          <w:b w:val="false"/>
          <w:i w:val="false"/>
          <w:caps w:val="false"/>
          <w:smallCaps w:val="false"/>
          <w:sz w:val="20"/>
        </w:rPr>
        <w:t xml:space="preserve">238,217 ADSs) and series G warrants (“Series G Warrants”) to purchase up to </w:t>
      </w:r>
      <w:bookmarkStart w:id="339" w:name="xdx_90F_eus-gaap--ClassOfWarrantOrRightN"/>
      <w:bookmarkEnd w:id="339"/>
      <w:r>
        <w:rPr>
          <w:rFonts w:ascii="Times New Roman;Times;Serif" w:hAnsi="Times New Roman;Times;Serif"/>
          <w:b w:val="false"/>
          <w:i w:val="false"/>
          <w:caps w:val="false"/>
          <w:smallCaps w:val="false"/>
          <w:sz w:val="20"/>
        </w:rPr>
        <w:t>19,057,418,000 ordinary shares (</w:t>
      </w:r>
      <w:bookmarkStart w:id="340" w:name="xdx_902_eus-gaap--ClassOfWarrantOrRightN"/>
      <w:bookmarkEnd w:id="340"/>
      <w:r>
        <w:rPr>
          <w:rFonts w:ascii="Times New Roman;Times;Serif" w:hAnsi="Times New Roman;Times;Serif"/>
          <w:b w:val="false"/>
          <w:i w:val="false"/>
          <w:caps w:val="false"/>
          <w:smallCaps w:val="false"/>
          <w:sz w:val="20"/>
        </w:rPr>
        <w:t>238,217 ADSs). The combined purchase price per each ADS and accompanying Series G was $</w:t>
      </w:r>
      <w:bookmarkStart w:id="341" w:name="xdx_90D_eus-gaap--SharesIssuedPricePerSh"/>
      <w:bookmarkEnd w:id="341"/>
      <w:r>
        <w:rPr>
          <w:rFonts w:ascii="Times New Roman;Times;Serif" w:hAnsi="Times New Roman;Times;Serif"/>
          <w:b w:val="false"/>
          <w:i w:val="false"/>
          <w:caps w:val="false"/>
          <w:smallCaps w:val="false"/>
          <w:sz w:val="20"/>
        </w:rPr>
        <w:t>15.53.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 with the closing of the December 2025 Registered Direct Offering, the Company entered into a side letter with one non-institutional investor pursuant to which the Company agreed to issue </w:t>
      </w:r>
      <w:bookmarkStart w:id="342" w:name="xdx_90F_eus-gaap--ClassOfWarrantOrRightN"/>
      <w:bookmarkEnd w:id="342"/>
      <w:r>
        <w:rPr>
          <w:rFonts w:ascii="Times New Roman;Times;Serif" w:hAnsi="Times New Roman;Times;Serif"/>
          <w:b w:val="false"/>
          <w:i w:val="false"/>
          <w:caps w:val="false"/>
          <w:smallCaps w:val="false"/>
          <w:sz w:val="20"/>
        </w:rPr>
        <w:t>1,030,130,000 ordinary shares (</w:t>
      </w:r>
      <w:bookmarkStart w:id="343" w:name="xdx_90A_eus-gaap--ClassOfWarrantOrRightN"/>
      <w:bookmarkEnd w:id="343"/>
      <w:r>
        <w:rPr>
          <w:rFonts w:ascii="Times New Roman;Times;Serif" w:hAnsi="Times New Roman;Times;Serif"/>
          <w:b w:val="false"/>
          <w:i w:val="false"/>
          <w:caps w:val="false"/>
          <w:smallCaps w:val="false"/>
          <w:sz w:val="20"/>
        </w:rPr>
        <w:t xml:space="preserve">12,876 ADSs) and Series G Warrants to purchase </w:t>
      </w:r>
      <w:bookmarkStart w:id="344" w:name="xdx_90A_eus-gaap--CommonStockDiscountOnS"/>
      <w:bookmarkEnd w:id="344"/>
      <w:r>
        <w:rPr>
          <w:rFonts w:ascii="Times New Roman;Times;Serif" w:hAnsi="Times New Roman;Times;Serif"/>
          <w:b w:val="false"/>
          <w:i w:val="false"/>
          <w:caps w:val="false"/>
          <w:smallCaps w:val="false"/>
          <w:sz w:val="20"/>
        </w:rPr>
        <w:t>1,030,130,000 ordinary shares (</w:t>
      </w:r>
      <w:bookmarkStart w:id="345" w:name="xdx_90D_eus-gaap--CommonStockDiscountOnS"/>
      <w:bookmarkEnd w:id="345"/>
      <w:r>
        <w:rPr>
          <w:rFonts w:ascii="Times New Roman;Times;Serif" w:hAnsi="Times New Roman;Times;Serif"/>
          <w:b w:val="false"/>
          <w:i w:val="false"/>
          <w:caps w:val="false"/>
          <w:smallCaps w:val="false"/>
          <w:sz w:val="20"/>
        </w:rPr>
        <w:t>12,876 ADSs), not included in the total closing amount above, upon receipt of subscription amount of approximately $</w:t>
      </w:r>
      <w:bookmarkStart w:id="346" w:name="xdx_906_ecustom--SubscriptionAmount_pn5n"/>
      <w:bookmarkEnd w:id="346"/>
      <w:r>
        <w:rPr>
          <w:rFonts w:ascii="Times New Roman;Times;Serif" w:hAnsi="Times New Roman;Times;Serif"/>
          <w:b w:val="false"/>
          <w:i w:val="false"/>
          <w:caps w:val="false"/>
          <w:smallCaps w:val="false"/>
          <w:sz w:val="20"/>
        </w:rPr>
        <w:t>0.2 million, which such subscription amount was received on January 15, 2026. The closing of this issuance occurred on January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G Warrants are exercisable at a price of $</w:t>
      </w:r>
      <w:bookmarkStart w:id="347" w:name="xdx_905_eus-gaap--SharesIssuedPricePerSh"/>
      <w:bookmarkEnd w:id="347"/>
      <w:r>
        <w:rPr>
          <w:rFonts w:ascii="Times New Roman;Times;Serif" w:hAnsi="Times New Roman;Times;Serif"/>
          <w:b w:val="false"/>
          <w:i w:val="false"/>
          <w:caps w:val="false"/>
          <w:smallCaps w:val="false"/>
          <w:sz w:val="20"/>
        </w:rPr>
        <w:t>15.53 per ADS. The Series G Warrants became exercisable on March 2, 2026, and have a five-year term. The Company determined that the Series G Warrants met all of the criteria for equity classification. Accordingly, each of the Series G Warrants issued on the January 30, 2026 closing was recorded as a component of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the second closing of the December 2025 Registered Direct Offering was approximately $</w:t>
      </w:r>
      <w:bookmarkStart w:id="348" w:name="xdx_907_eus-gaap--ProceedsFromIssuanceOf"/>
      <w:bookmarkEnd w:id="348"/>
      <w:r>
        <w:rPr>
          <w:rFonts w:ascii="Times New Roman;Times;Serif" w:hAnsi="Times New Roman;Times;Serif"/>
          <w:b w:val="false"/>
          <w:i w:val="false"/>
          <w:caps w:val="false"/>
          <w:smallCaps w:val="false"/>
          <w:sz w:val="20"/>
        </w:rPr>
        <w:t>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May 2026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2026, the Company entered into a securities purchase agreement (the “Purchase Agreement”) with certain investors pursuant to which the Company sold and issued in a private placement (the “May 2026 Private Placement”) (i) </w:t>
      </w:r>
      <w:bookmarkStart w:id="349" w:name="xdx_900_eus-gaap--SaleOfStockNumberOfSha"/>
      <w:bookmarkEnd w:id="349"/>
      <w:r>
        <w:rPr>
          <w:rFonts w:ascii="Times New Roman;Times;Serif" w:hAnsi="Times New Roman;Times;Serif"/>
          <w:b w:val="false"/>
          <w:i w:val="false"/>
          <w:caps w:val="false"/>
          <w:smallCaps w:val="false"/>
          <w:sz w:val="20"/>
        </w:rPr>
        <w:t>21,127,920,000 ordinary shares (</w:t>
      </w:r>
      <w:bookmarkStart w:id="350" w:name="xdx_905_eus-gaap--SharesIssued_iI_pid_c2"/>
      <w:bookmarkEnd w:id="350"/>
      <w:r>
        <w:rPr>
          <w:rFonts w:ascii="Times New Roman;Times;Serif" w:hAnsi="Times New Roman;Times;Serif"/>
          <w:b w:val="false"/>
          <w:i w:val="false"/>
          <w:caps w:val="false"/>
          <w:smallCaps w:val="false"/>
          <w:sz w:val="20"/>
        </w:rPr>
        <w:t xml:space="preserve">264,099 ADSs), (ii) prefunded warrants (“Prefunded Warrants”) to purchase up to </w:t>
      </w:r>
      <w:bookmarkStart w:id="351" w:name="xdx_901_eus-gaap--ClassOfWarrantOrRightN"/>
      <w:bookmarkEnd w:id="351"/>
      <w:r>
        <w:rPr>
          <w:rFonts w:ascii="Times New Roman;Times;Serif" w:hAnsi="Times New Roman;Times;Serif"/>
          <w:b w:val="false"/>
          <w:i w:val="false"/>
          <w:caps w:val="false"/>
          <w:smallCaps w:val="false"/>
          <w:sz w:val="20"/>
        </w:rPr>
        <w:t>96,519,120,000 ordinary shares (</w:t>
      </w:r>
      <w:bookmarkStart w:id="352" w:name="xdx_906_eus-gaap--ClassOfWarrantOrRightN"/>
      <w:bookmarkEnd w:id="352"/>
      <w:r>
        <w:rPr>
          <w:rFonts w:ascii="Times New Roman;Times;Serif" w:hAnsi="Times New Roman;Times;Serif"/>
          <w:b w:val="false"/>
          <w:i w:val="false"/>
          <w:caps w:val="false"/>
          <w:smallCaps w:val="false"/>
          <w:sz w:val="20"/>
        </w:rPr>
        <w:t xml:space="preserve">1,206,489 ADSs), (iii) series H warrants (“Series H Warrants”) to purchase up to </w:t>
      </w:r>
      <w:bookmarkStart w:id="353" w:name="xdx_902_eus-gaap--ClassOfWarrantOrRightN"/>
      <w:bookmarkEnd w:id="353"/>
      <w:r>
        <w:rPr>
          <w:rFonts w:ascii="Times New Roman;Times;Serif" w:hAnsi="Times New Roman;Times;Serif"/>
          <w:b w:val="false"/>
          <w:i w:val="false"/>
          <w:caps w:val="false"/>
          <w:smallCaps w:val="false"/>
          <w:sz w:val="20"/>
        </w:rPr>
        <w:t>117,647,040,000 ordinary shares (</w:t>
      </w:r>
      <w:bookmarkStart w:id="354" w:name="xdx_90A_eus-gaap--ClassOfWarrantOrRightN"/>
      <w:bookmarkEnd w:id="354"/>
      <w:r>
        <w:rPr>
          <w:rFonts w:ascii="Times New Roman;Times;Serif" w:hAnsi="Times New Roman;Times;Serif"/>
          <w:b w:val="false"/>
          <w:i w:val="false"/>
          <w:caps w:val="false"/>
          <w:smallCaps w:val="false"/>
          <w:sz w:val="20"/>
        </w:rPr>
        <w:t xml:space="preserve">1,470,588 ADSs), (iv) series I warrants (“Series I Warrants”) to purchase up to </w:t>
      </w:r>
      <w:bookmarkStart w:id="355" w:name="xdx_90C_eus-gaap--ClassOfWarrantOrRightN"/>
      <w:bookmarkEnd w:id="355"/>
      <w:r>
        <w:rPr>
          <w:rFonts w:ascii="Times New Roman;Times;Serif" w:hAnsi="Times New Roman;Times;Serif"/>
          <w:b w:val="false"/>
          <w:i w:val="false"/>
          <w:caps w:val="false"/>
          <w:smallCaps w:val="false"/>
          <w:sz w:val="20"/>
        </w:rPr>
        <w:t>117,647,040,000 ordinary shares (</w:t>
      </w:r>
      <w:bookmarkStart w:id="356" w:name="xdx_90C_eus-gaap--ClassOfWarrantOrRightN"/>
      <w:bookmarkEnd w:id="356"/>
      <w:r>
        <w:rPr>
          <w:rFonts w:ascii="Times New Roman;Times;Serif" w:hAnsi="Times New Roman;Times;Serif"/>
          <w:b w:val="false"/>
          <w:i w:val="false"/>
          <w:caps w:val="false"/>
          <w:smallCaps w:val="false"/>
          <w:sz w:val="20"/>
        </w:rPr>
        <w:t xml:space="preserve">1,470,588 ADSs), and (v) series J warrants (“Series J Warrants”, and, with the Pre-Funded Warrants, Series H Warrants and Series I Warrants, the “May 2026 Warrants”) to purchase up to </w:t>
      </w:r>
      <w:bookmarkStart w:id="357" w:name="xdx_906_eus-gaap--ClassOfWarrantOrRightN"/>
      <w:bookmarkEnd w:id="357"/>
      <w:r>
        <w:rPr>
          <w:rFonts w:ascii="Times New Roman;Times;Serif" w:hAnsi="Times New Roman;Times;Serif"/>
          <w:b w:val="false"/>
          <w:i w:val="false"/>
          <w:caps w:val="false"/>
          <w:smallCaps w:val="false"/>
          <w:sz w:val="20"/>
        </w:rPr>
        <w:t>117,647,040,000 ordinary shares (</w:t>
      </w:r>
      <w:bookmarkStart w:id="358" w:name="xdx_907_eus-gaap--ClassOfWarrantOrRightN"/>
      <w:bookmarkEnd w:id="358"/>
      <w:r>
        <w:rPr>
          <w:rFonts w:ascii="Times New Roman;Times;Serif" w:hAnsi="Times New Roman;Times;Serif"/>
          <w:b w:val="false"/>
          <w:i w:val="false"/>
          <w:caps w:val="false"/>
          <w:smallCaps w:val="false"/>
          <w:sz w:val="20"/>
        </w:rPr>
        <w:t>1,470,588 ADSs). The combined purchase price per each ADS or Prefunded Warrant and accompanying Series H, Series I and Series J Warrant was $</w:t>
      </w:r>
      <w:bookmarkStart w:id="359" w:name="xdx_907_eus-gaap--ClassOfWarrantOrRightE"/>
      <w:bookmarkStart w:id="360" w:name="xdx_907_eus-gaap--ClassOfWarrantOrRightE"/>
      <w:bookmarkStart w:id="361" w:name="xdx_90E_eus-gaap--ClassOfWarrantOrRightE"/>
      <w:bookmarkEnd w:id="359"/>
      <w:bookmarkEnd w:id="360"/>
      <w:bookmarkEnd w:id="361"/>
      <w:r>
        <w:rPr>
          <w:rFonts w:ascii="Times New Roman;Times;Serif" w:hAnsi="Times New Roman;Times;Serif"/>
          <w:b w:val="false"/>
          <w:i w:val="false"/>
          <w:caps w:val="false"/>
          <w:smallCaps w:val="false"/>
          <w:sz w:val="20"/>
        </w:rPr>
        <w:t>3.74. The May 2026 Private Placement closed in two tranches on May 26, 2026, and June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H Warrants, Series I Warrants, and Series J Warrants were issued on June 30, 2026, following the obtainment of requisite shareholder approval and are exercisable at a price of $</w:t>
      </w:r>
      <w:bookmarkStart w:id="362" w:name="xdx_90B_eus-gaap--SharesIssuedPricePerSh"/>
      <w:bookmarkEnd w:id="362"/>
      <w:r>
        <w:rPr>
          <w:rFonts w:ascii="Times New Roman;Times;Serif" w:hAnsi="Times New Roman;Times;Serif"/>
          <w:b w:val="false"/>
          <w:i w:val="false"/>
          <w:caps w:val="false"/>
          <w:smallCaps w:val="false"/>
          <w:sz w:val="20"/>
        </w:rPr>
        <w:t>3.74 per ADS. The Series H Warrants have an eighteen-month term, and the Series I and J warrants have a five-year term. The Company determined that the Series H Warrants, the Series I Warrants, the Series J Warrants, and the Prefunded Warrants met all the criteria for equity classification. Accordingly, upon closing of the May 2026 Private Placement, each of the Series H Warrants, the Series I Warrants, the Series J Warrants, and the Prefunded Warrants were recorded as a component of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close of the May 2026 Private Placement, the Company incurred a total of approximately $</w:t>
      </w:r>
      <w:bookmarkStart w:id="363" w:name="xdx_90F_eus-gaap--ProceedsFromIssuanceOf"/>
      <w:bookmarkEnd w:id="363"/>
      <w:r>
        <w:rPr>
          <w:rFonts w:ascii="Times New Roman;Times;Serif" w:hAnsi="Times New Roman;Times;Serif"/>
          <w:b w:val="false"/>
          <w:i w:val="false"/>
          <w:caps w:val="false"/>
          <w:smallCaps w:val="false"/>
          <w:sz w:val="20"/>
        </w:rPr>
        <w:t xml:space="preserve">0.1 million in placement agent fees with Paulson Investment Company, LLC (“Paulson”) and were required to issue </w:t>
      </w:r>
      <w:bookmarkStart w:id="364" w:name="xdx_905_eus-gaap--StockIssuedDuringPerio"/>
      <w:bookmarkEnd w:id="364"/>
      <w:r>
        <w:rPr>
          <w:rFonts w:ascii="Times New Roman;Times;Serif" w:hAnsi="Times New Roman;Times;Serif"/>
          <w:b w:val="false"/>
          <w:i w:val="false"/>
          <w:caps w:val="false"/>
          <w:smallCaps w:val="false"/>
          <w:sz w:val="20"/>
        </w:rPr>
        <w:t>9,411,760,000 ordinary shares (</w:t>
      </w:r>
      <w:bookmarkStart w:id="365" w:name="xdx_904_eus-gaap--StockIssuedDuringPerio"/>
      <w:bookmarkEnd w:id="365"/>
      <w:r>
        <w:rPr>
          <w:rFonts w:ascii="Times New Roman;Times;Serif" w:hAnsi="Times New Roman;Times;Serif"/>
          <w:b w:val="false"/>
          <w:i w:val="false"/>
          <w:caps w:val="false"/>
          <w:smallCaps w:val="false"/>
          <w:sz w:val="20"/>
        </w:rPr>
        <w:t>117,647 ADSs) (the “Paulson ADSs”) pursuant to a placement agent agreement, dated May 20, 2026, by and between the Company and Paulson (the “Paulson PAA”), which were issued on July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and the Paulson PAA, the Company agreed to prepare and file a registration statement on Form S-3 (or Form S-1 if the Company is not then eligible to use Form S-3) with the SEC no later than thirty days following June 26, 2026 to register the resale of the ADSs (including ADSs issuable upon exercise of the May 2026 Warrants) and the Paulson ADSs purchased or issued pursuant to the Purchase Agreement and the Paulson PAA (the “May 2026 Resale Registration Statement”). The May 2026 Resale Registration Statement was filed on July 2, 2026, as amended on July 8, 2026 and July 10, 2026, and was declared effective by the SEC on July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the May 2026 Private Placement were approximately $</w:t>
      </w:r>
      <w:bookmarkStart w:id="366" w:name="xdx_905_eus-gaap--ProceedsFromIssuanceOf"/>
      <w:bookmarkEnd w:id="366"/>
      <w:r>
        <w:rPr>
          <w:rFonts w:ascii="Times New Roman;Times;Serif" w:hAnsi="Times New Roman;Times;Serif"/>
          <w:b w:val="false"/>
          <w:i w:val="false"/>
          <w:caps w:val="false"/>
          <w:smallCaps w:val="false"/>
          <w:sz w:val="20"/>
        </w:rPr>
        <w:t>5.2 million.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various previous financing transactions, the Company has issued warrants to purchase the Company’s ordinary shares represented by ADSs. The Company accounts for such warrants as equity instruments or liabilities, depending on the specific terms of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7" w:name="xdx_89C_eus-gaap--ScheduleOfStockholders"/>
      <w:bookmarkEnd w:id="367"/>
      <w:r>
        <w:rPr>
          <w:rFonts w:ascii="Times New Roman;Times;Serif" w:hAnsi="Times New Roman;Times;Serif"/>
          <w:b w:val="false"/>
          <w:i w:val="false"/>
          <w:caps w:val="false"/>
          <w:smallCaps w:val="false"/>
          <w:sz w:val="20"/>
        </w:rPr>
        <w:t>The following table summarizes the Company’s outstanding warrants as of June 30, 2026, and December 31, 2025:</w:t>
      </w:r>
    </w:p>
    <w:p>
      <w:pPr>
        <w:pStyle w:val="TextBody"/>
        <w:bidi w:val="0"/>
        <w:spacing w:before="0" w:after="0"/>
        <w:ind w:left="0" w:right="0" w:hanging="0"/>
        <w:jc w:val="both"/>
        <w:rPr>
          <w:caps w:val="false"/>
          <w:smallCaps w:val="false"/>
        </w:rPr>
      </w:pPr>
      <w:r>
        <w:rPr>
          <w:caps w:val="false"/>
          <w:smallCaps w:val="false"/>
        </w:rPr>
        <w:t> </w:t>
      </w:r>
      <w:bookmarkStart w:id="368" w:name="xdx_8B2_zuIlW5P2sFri"/>
      <w:bookmarkEnd w:id="368"/>
      <w:r>
        <w:rPr>
          <w:rFonts w:ascii="Times New Roman;Times;Serif" w:hAnsi="Times New Roman;Times;Serif"/>
          <w:b w:val="false"/>
          <w:i w:val="false"/>
          <w:caps w:val="false"/>
          <w:smallCaps w:val="false"/>
          <w:sz w:val="20"/>
        </w:rPr>
        <w:t>Schedule of Summarizes the Outstanding Warrants</w:t>
      </w:r>
    </w:p>
    <w:tbl>
      <w:tblPr>
        <w:tblW w:w="10205" w:type="dxa"/>
        <w:jc w:val="left"/>
        <w:tblInd w:w="0" w:type="dxa"/>
        <w:tblLayout w:type="fixed"/>
        <w:tblCellMar>
          <w:top w:w="0" w:type="dxa"/>
          <w:left w:w="0" w:type="dxa"/>
          <w:bottom w:w="0" w:type="dxa"/>
          <w:right w:w="0" w:type="dxa"/>
        </w:tblCellMar>
      </w:tblPr>
      <w:tblGrid>
        <w:gridCol w:w="3960"/>
        <w:gridCol w:w="60"/>
        <w:gridCol w:w="71"/>
        <w:gridCol w:w="1182"/>
        <w:gridCol w:w="71"/>
        <w:gridCol w:w="71"/>
        <w:gridCol w:w="79"/>
        <w:gridCol w:w="1280"/>
        <w:gridCol w:w="60"/>
        <w:gridCol w:w="60"/>
        <w:gridCol w:w="193"/>
        <w:gridCol w:w="1197"/>
        <w:gridCol w:w="60"/>
        <w:gridCol w:w="60"/>
        <w:gridCol w:w="1801"/>
      </w:tblGrid>
      <w:tr>
        <w:trPr/>
        <w:tc>
          <w:tcPr>
            <w:tcW w:w="3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Warrant ADSs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pPr>
            <w:r>
              <w:rPr/>
              <w:t> </w:t>
            </w:r>
          </w:p>
        </w:tc>
      </w:tr>
      <w:tr>
        <w:trPr/>
        <w:tc>
          <w:tcPr>
            <w:tcW w:w="3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3" w:type="dxa"/>
            <w:gridSpan w:val="2"/>
            <w:tcBorders/>
            <w:vAlign w:val="center"/>
          </w:tcPr>
          <w:p>
            <w:pPr>
              <w:pStyle w:val="TableContents"/>
              <w:bidi w:val="0"/>
              <w:spacing w:before="0" w:after="283"/>
              <w:jc w:val="center"/>
              <w:rPr>
                <w:b/>
              </w:rPr>
            </w:pPr>
            <w:r>
              <w:rPr>
                <w:b/>
              </w:rPr>
              <w:t>June 30,</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59"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pPr>
            <w:r>
              <w:rPr/>
              <w:t> </w:t>
            </w:r>
          </w:p>
        </w:tc>
      </w:tr>
      <w:tr>
        <w:trPr/>
        <w:tc>
          <w:tcPr>
            <w:tcW w:w="3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1" w:type="dxa"/>
            <w:tcBorders>
              <w:bottom w:val="single" w:sz="8" w:space="0" w:color="000000"/>
            </w:tcBorders>
            <w:tcMar>
              <w:bottom w:w="28" w:type="dxa"/>
            </w:tcMar>
            <w:vAlign w:val="center"/>
          </w:tcPr>
          <w:p>
            <w:pPr>
              <w:pStyle w:val="TableContents"/>
              <w:bidi w:val="0"/>
              <w:spacing w:before="0" w:after="283"/>
              <w:jc w:val="center"/>
              <w:rPr>
                <w:b/>
              </w:rPr>
            </w:pPr>
            <w:r>
              <w:rPr>
                <w:b/>
              </w:rPr>
              <w:t>Expiration Date</w:t>
            </w:r>
          </w:p>
        </w:tc>
      </w:tr>
      <w:tr>
        <w:trPr/>
        <w:tc>
          <w:tcPr>
            <w:tcW w:w="3960" w:type="dxa"/>
            <w:tcBorders/>
            <w:shd w:fill="CCEEFF" w:val="clear"/>
            <w:vAlign w:val="center"/>
          </w:tcPr>
          <w:p>
            <w:pPr>
              <w:pStyle w:val="TableContents"/>
              <w:bidi w:val="0"/>
              <w:spacing w:before="0" w:after="283"/>
              <w:jc w:val="left"/>
              <w:rPr>
                <w:b/>
              </w:rPr>
            </w:pPr>
            <w:r>
              <w:rPr>
                <w:b/>
              </w:rPr>
              <w:t>Equity-classified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left"/>
              <w:rPr/>
            </w:pPr>
            <w:r>
              <w:rPr/>
              <w:t> </w:t>
            </w:r>
          </w:p>
        </w:tc>
      </w:tr>
      <w:tr>
        <w:trPr/>
        <w:tc>
          <w:tcPr>
            <w:tcW w:w="3960" w:type="dxa"/>
            <w:tcBorders/>
            <w:shd w:fill="FFFFFF" w:val="clear"/>
            <w:vAlign w:val="center"/>
          </w:tcPr>
          <w:p>
            <w:pPr>
              <w:pStyle w:val="TableContents"/>
              <w:bidi w:val="0"/>
              <w:spacing w:before="0" w:after="283"/>
              <w:jc w:val="left"/>
              <w:rPr/>
            </w:pPr>
            <w:r>
              <w:rPr/>
              <w:t>May 2026 Investor Prefunded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369" w:name="xdx_987_ecustom--ClassOfWarrantOrRightOu"/>
            <w:bookmarkEnd w:id="369"/>
          </w:p>
        </w:tc>
        <w:tc>
          <w:tcPr>
            <w:tcW w:w="1182" w:type="dxa"/>
            <w:tcBorders/>
            <w:shd w:fill="FFFFFF" w:val="clear"/>
            <w:vAlign w:val="center"/>
          </w:tcPr>
          <w:p>
            <w:pPr>
              <w:pStyle w:val="TableContents"/>
              <w:bidi w:val="0"/>
              <w:spacing w:before="0" w:after="283"/>
              <w:jc w:val="right"/>
              <w:rPr/>
            </w:pPr>
            <w:r>
              <w:rPr/>
              <w:t>1,206,489</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370" w:name="xdx_983_ecustom--ClassOfWarrantOrRightOu"/>
            <w:bookmarkEnd w:id="370"/>
          </w:p>
        </w:tc>
        <w:tc>
          <w:tcPr>
            <w:tcW w:w="12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371" w:name="xdx_982_eus-gaap--ClassOfWarrantOrRightE"/>
            <w:bookmarkEnd w:id="371"/>
          </w:p>
        </w:tc>
        <w:tc>
          <w:tcPr>
            <w:tcW w:w="11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None</w:t>
            </w:r>
          </w:p>
        </w:tc>
      </w:tr>
      <w:tr>
        <w:trPr/>
        <w:tc>
          <w:tcPr>
            <w:tcW w:w="3960" w:type="dxa"/>
            <w:tcBorders/>
            <w:shd w:fill="CCEEFF" w:val="clear"/>
            <w:vAlign w:val="center"/>
          </w:tcPr>
          <w:p>
            <w:pPr>
              <w:pStyle w:val="TableContents"/>
              <w:bidi w:val="0"/>
              <w:spacing w:before="0" w:after="283"/>
              <w:jc w:val="left"/>
              <w:rPr/>
            </w:pPr>
            <w:r>
              <w:rPr/>
              <w:t>December 2025 Investor Prefunded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372" w:name="xdx_987_ecustom--ClassOfWarrantOrRightOu"/>
            <w:bookmarkEnd w:id="372"/>
          </w:p>
        </w:tc>
        <w:tc>
          <w:tcPr>
            <w:tcW w:w="1182" w:type="dxa"/>
            <w:tcBorders/>
            <w:shd w:fill="CCEEFF" w:val="clear"/>
            <w:vAlign w:val="center"/>
          </w:tcPr>
          <w:p>
            <w:pPr>
              <w:pStyle w:val="TableContents"/>
              <w:bidi w:val="0"/>
              <w:spacing w:before="0" w:after="283"/>
              <w:jc w:val="right"/>
              <w:rPr/>
            </w:pPr>
            <w:r>
              <w:rPr/>
              <w:t>180,935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373" w:name="xdx_980_ecustom--ClassOfWarrantOrRightOu"/>
            <w:bookmarkEnd w:id="373"/>
          </w:p>
        </w:tc>
        <w:tc>
          <w:tcPr>
            <w:tcW w:w="1280" w:type="dxa"/>
            <w:tcBorders/>
            <w:shd w:fill="CCEEFF" w:val="clear"/>
            <w:vAlign w:val="center"/>
          </w:tcPr>
          <w:p>
            <w:pPr>
              <w:pStyle w:val="TableContents"/>
              <w:bidi w:val="0"/>
              <w:spacing w:before="0" w:after="283"/>
              <w:jc w:val="right"/>
              <w:rPr/>
            </w:pPr>
            <w:r>
              <w:rPr/>
              <w:t>301,653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374" w:name="xdx_984_eus-gaap--ClassOfWarrantOrRightE"/>
            <w:bookmarkEnd w:id="374"/>
          </w:p>
        </w:tc>
        <w:tc>
          <w:tcPr>
            <w:tcW w:w="11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None</w:t>
            </w:r>
          </w:p>
        </w:tc>
      </w:tr>
      <w:tr>
        <w:trPr/>
        <w:tc>
          <w:tcPr>
            <w:tcW w:w="3960" w:type="dxa"/>
            <w:tcBorders/>
            <w:shd w:fill="FFFFFF" w:val="clear"/>
            <w:vAlign w:val="center"/>
          </w:tcPr>
          <w:p>
            <w:pPr>
              <w:pStyle w:val="TableContents"/>
              <w:bidi w:val="0"/>
              <w:spacing w:before="0" w:after="283"/>
              <w:jc w:val="left"/>
              <w:rPr/>
            </w:pPr>
            <w:r>
              <w:rPr/>
              <w:t>May 2026 Series H Investor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375" w:name="xdx_98C_ecustom--ClassOfWarrantOrRightOu"/>
            <w:bookmarkEnd w:id="375"/>
          </w:p>
        </w:tc>
        <w:tc>
          <w:tcPr>
            <w:tcW w:w="1182" w:type="dxa"/>
            <w:tcBorders/>
            <w:shd w:fill="FFFFFF" w:val="clear"/>
            <w:vAlign w:val="center"/>
          </w:tcPr>
          <w:p>
            <w:pPr>
              <w:pStyle w:val="TableContents"/>
              <w:bidi w:val="0"/>
              <w:spacing w:before="0" w:after="283"/>
              <w:jc w:val="right"/>
              <w:rPr/>
            </w:pPr>
            <w:r>
              <w:rPr/>
              <w:t>1,470,588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376" w:name="xdx_98F_ecustom--ClassOfWarrantOrRightOu"/>
            <w:bookmarkEnd w:id="376"/>
          </w:p>
        </w:tc>
        <w:tc>
          <w:tcPr>
            <w:tcW w:w="12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377" w:name="xdx_98C_eus-gaap--ClassOfWarrantOrRightE"/>
            <w:bookmarkEnd w:id="377"/>
          </w:p>
        </w:tc>
        <w:tc>
          <w:tcPr>
            <w:tcW w:w="1197" w:type="dxa"/>
            <w:tcBorders/>
            <w:shd w:fill="FFFFFF" w:val="clear"/>
            <w:vAlign w:val="center"/>
          </w:tcPr>
          <w:p>
            <w:pPr>
              <w:pStyle w:val="TableContents"/>
              <w:bidi w:val="0"/>
              <w:spacing w:before="0" w:after="283"/>
              <w:jc w:val="right"/>
              <w:rPr/>
            </w:pPr>
            <w:r>
              <w:rPr/>
              <w:t>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12/31/2027</w:t>
            </w:r>
          </w:p>
        </w:tc>
      </w:tr>
      <w:tr>
        <w:trPr/>
        <w:tc>
          <w:tcPr>
            <w:tcW w:w="3960" w:type="dxa"/>
            <w:tcBorders/>
            <w:shd w:fill="CCEEFF" w:val="clear"/>
            <w:vAlign w:val="center"/>
          </w:tcPr>
          <w:p>
            <w:pPr>
              <w:pStyle w:val="TableContents"/>
              <w:bidi w:val="0"/>
              <w:spacing w:before="0" w:after="283"/>
              <w:jc w:val="left"/>
              <w:rPr/>
            </w:pPr>
            <w:r>
              <w:rPr/>
              <w:t>May 2026 Series I Investor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378" w:name="xdx_988_ecustom--ClassOfWarrantOrRightOu"/>
            <w:bookmarkEnd w:id="378"/>
          </w:p>
        </w:tc>
        <w:tc>
          <w:tcPr>
            <w:tcW w:w="1182" w:type="dxa"/>
            <w:tcBorders/>
            <w:shd w:fill="CCEEFF" w:val="clear"/>
            <w:vAlign w:val="center"/>
          </w:tcPr>
          <w:p>
            <w:pPr>
              <w:pStyle w:val="TableContents"/>
              <w:bidi w:val="0"/>
              <w:spacing w:before="0" w:after="283"/>
              <w:jc w:val="right"/>
              <w:rPr/>
            </w:pPr>
            <w:r>
              <w:rPr/>
              <w:t>1,470,588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379" w:name="xdx_98F_ecustom--ClassOfWarrantOrRightOu"/>
            <w:bookmarkEnd w:id="379"/>
          </w:p>
        </w:tc>
        <w:tc>
          <w:tcPr>
            <w:tcW w:w="1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380" w:name="xdx_98E_eus-gaap--ClassOfWarrantOrRightE"/>
            <w:bookmarkEnd w:id="380"/>
          </w:p>
        </w:tc>
        <w:tc>
          <w:tcPr>
            <w:tcW w:w="1197" w:type="dxa"/>
            <w:tcBorders/>
            <w:shd w:fill="CCEEFF" w:val="clear"/>
            <w:vAlign w:val="center"/>
          </w:tcPr>
          <w:p>
            <w:pPr>
              <w:pStyle w:val="TableContents"/>
              <w:bidi w:val="0"/>
              <w:spacing w:before="0" w:after="283"/>
              <w:jc w:val="right"/>
              <w:rPr/>
            </w:pPr>
            <w:r>
              <w:rPr/>
              <w:t>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6/30/2031</w:t>
            </w:r>
          </w:p>
        </w:tc>
      </w:tr>
      <w:tr>
        <w:trPr/>
        <w:tc>
          <w:tcPr>
            <w:tcW w:w="3960" w:type="dxa"/>
            <w:tcBorders/>
            <w:shd w:fill="FFFFFF" w:val="clear"/>
            <w:vAlign w:val="center"/>
          </w:tcPr>
          <w:p>
            <w:pPr>
              <w:pStyle w:val="TableContents"/>
              <w:bidi w:val="0"/>
              <w:spacing w:before="0" w:after="283"/>
              <w:jc w:val="left"/>
              <w:rPr/>
            </w:pPr>
            <w:r>
              <w:rPr/>
              <w:t>May 2026 Series J Investor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381" w:name="xdx_98A_ecustom--ClassOfWarrantOrRightOu"/>
            <w:bookmarkEnd w:id="381"/>
          </w:p>
        </w:tc>
        <w:tc>
          <w:tcPr>
            <w:tcW w:w="1182" w:type="dxa"/>
            <w:tcBorders/>
            <w:shd w:fill="FFFFFF" w:val="clear"/>
            <w:vAlign w:val="center"/>
          </w:tcPr>
          <w:p>
            <w:pPr>
              <w:pStyle w:val="TableContents"/>
              <w:bidi w:val="0"/>
              <w:spacing w:before="0" w:after="283"/>
              <w:jc w:val="right"/>
              <w:rPr/>
            </w:pPr>
            <w:r>
              <w:rPr/>
              <w:t>1,470,588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382" w:name="xdx_98D_ecustom--ClassOfWarrantOrRightOu"/>
            <w:bookmarkEnd w:id="382"/>
          </w:p>
        </w:tc>
        <w:tc>
          <w:tcPr>
            <w:tcW w:w="12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383" w:name="xdx_98A_eus-gaap--ClassOfWarrantOrRightE"/>
            <w:bookmarkEnd w:id="383"/>
          </w:p>
        </w:tc>
        <w:tc>
          <w:tcPr>
            <w:tcW w:w="1197" w:type="dxa"/>
            <w:tcBorders/>
            <w:shd w:fill="FFFFFF" w:val="clear"/>
            <w:vAlign w:val="center"/>
          </w:tcPr>
          <w:p>
            <w:pPr>
              <w:pStyle w:val="TableContents"/>
              <w:bidi w:val="0"/>
              <w:spacing w:before="0" w:after="283"/>
              <w:jc w:val="right"/>
              <w:rPr/>
            </w:pPr>
            <w:r>
              <w:rPr/>
              <w:t>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6/30/2031</w:t>
            </w:r>
          </w:p>
        </w:tc>
      </w:tr>
      <w:tr>
        <w:trPr/>
        <w:tc>
          <w:tcPr>
            <w:tcW w:w="3960" w:type="dxa"/>
            <w:tcBorders/>
            <w:shd w:fill="CCEEFF" w:val="clear"/>
            <w:vAlign w:val="center"/>
          </w:tcPr>
          <w:p>
            <w:pPr>
              <w:pStyle w:val="TableContents"/>
              <w:bidi w:val="0"/>
              <w:spacing w:before="0" w:after="283"/>
              <w:jc w:val="left"/>
              <w:rPr/>
            </w:pPr>
            <w:r>
              <w:rPr/>
              <w:t>April 2025 Investor Prefunded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384" w:name="xdx_98F_ecustom--ClassOfWarrantOrRightOu"/>
            <w:bookmarkEnd w:id="384"/>
          </w:p>
        </w:tc>
        <w:tc>
          <w:tcPr>
            <w:tcW w:w="1182"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385" w:name="xdx_983_ecustom--ClassOfWarrantOrRightOu"/>
            <w:bookmarkEnd w:id="385"/>
          </w:p>
        </w:tc>
        <w:tc>
          <w:tcPr>
            <w:tcW w:w="1280" w:type="dxa"/>
            <w:tcBorders/>
            <w:shd w:fill="CCEEFF" w:val="clear"/>
            <w:vAlign w:val="center"/>
          </w:tcPr>
          <w:p>
            <w:pPr>
              <w:pStyle w:val="TableContents"/>
              <w:bidi w:val="0"/>
              <w:spacing w:before="0" w:after="283"/>
              <w:jc w:val="right"/>
              <w:rPr/>
            </w:pPr>
            <w:r>
              <w:rPr/>
              <w:t>41,250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386" w:name="xdx_984_eus-gaap--ClassOfWarrantOrRightE"/>
            <w:bookmarkEnd w:id="386"/>
          </w:p>
        </w:tc>
        <w:tc>
          <w:tcPr>
            <w:tcW w:w="1197" w:type="dxa"/>
            <w:tcBorders/>
            <w:shd w:fill="CCEEFF" w:val="clear"/>
            <w:vAlign w:val="center"/>
          </w:tcPr>
          <w:p>
            <w:pPr>
              <w:pStyle w:val="TableContents"/>
              <w:bidi w:val="0"/>
              <w:spacing w:before="0" w:after="283"/>
              <w:jc w:val="right"/>
              <w:rPr/>
            </w:pPr>
            <w:r>
              <w:rPr/>
              <w:t>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None</w:t>
            </w:r>
          </w:p>
        </w:tc>
      </w:tr>
      <w:tr>
        <w:trPr/>
        <w:tc>
          <w:tcPr>
            <w:tcW w:w="3960" w:type="dxa"/>
            <w:tcBorders/>
            <w:shd w:fill="FFFFFF" w:val="clear"/>
            <w:vAlign w:val="center"/>
          </w:tcPr>
          <w:p>
            <w:pPr>
              <w:pStyle w:val="TableContents"/>
              <w:bidi w:val="0"/>
              <w:spacing w:before="0" w:after="283"/>
              <w:jc w:val="left"/>
              <w:rPr/>
            </w:pPr>
            <w:r>
              <w:rPr/>
              <w:t>October 2023 Investor Prefunded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387" w:name="xdx_987_ecustom--ClassOfWarrantOrRightOu"/>
            <w:bookmarkEnd w:id="387"/>
          </w:p>
        </w:tc>
        <w:tc>
          <w:tcPr>
            <w:tcW w:w="1182" w:type="dxa"/>
            <w:tcBorders/>
            <w:shd w:fill="FFFFFF" w:val="clear"/>
            <w:vAlign w:val="center"/>
          </w:tcPr>
          <w:p>
            <w:pPr>
              <w:pStyle w:val="TableContents"/>
              <w:bidi w:val="0"/>
              <w:spacing w:before="0" w:after="283"/>
              <w:jc w:val="right"/>
              <w:rPr/>
            </w:pPr>
            <w:r>
              <w:rPr/>
              <w:t>1,209</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388" w:name="xdx_982_ecustom--ClassOfWarrantOrRightOu"/>
            <w:bookmarkEnd w:id="388"/>
          </w:p>
        </w:tc>
        <w:tc>
          <w:tcPr>
            <w:tcW w:w="1280" w:type="dxa"/>
            <w:tcBorders/>
            <w:shd w:fill="FFFFFF" w:val="clear"/>
            <w:vAlign w:val="center"/>
          </w:tcPr>
          <w:p>
            <w:pPr>
              <w:pStyle w:val="TableContents"/>
              <w:bidi w:val="0"/>
              <w:spacing w:before="0" w:after="283"/>
              <w:jc w:val="right"/>
              <w:rPr/>
            </w:pPr>
            <w:r>
              <w:rPr/>
              <w:t>1,209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389" w:name="xdx_98E_eus-gaap--ClassOfWarrantOrRightE"/>
            <w:bookmarkEnd w:id="389"/>
          </w:p>
        </w:tc>
        <w:tc>
          <w:tcPr>
            <w:tcW w:w="1197" w:type="dxa"/>
            <w:tcBorders/>
            <w:shd w:fill="FFFFFF" w:val="clear"/>
            <w:vAlign w:val="center"/>
          </w:tcPr>
          <w:p>
            <w:pPr>
              <w:pStyle w:val="TableContents"/>
              <w:bidi w:val="0"/>
              <w:spacing w:before="0" w:after="283"/>
              <w:jc w:val="right"/>
              <w:rPr/>
            </w:pPr>
            <w:r>
              <w:rPr/>
              <w:t>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None</w:t>
            </w:r>
          </w:p>
        </w:tc>
      </w:tr>
      <w:tr>
        <w:trPr/>
        <w:tc>
          <w:tcPr>
            <w:tcW w:w="3960" w:type="dxa"/>
            <w:tcBorders/>
            <w:shd w:fill="CCEEFF" w:val="clear"/>
            <w:vAlign w:val="center"/>
          </w:tcPr>
          <w:p>
            <w:pPr>
              <w:pStyle w:val="TableContents"/>
              <w:bidi w:val="0"/>
              <w:spacing w:before="0" w:after="283"/>
              <w:jc w:val="left"/>
              <w:rPr/>
            </w:pPr>
            <w:r>
              <w:rPr/>
              <w:t>December 2025 Series G Investor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390" w:name="xdx_98F_ecustom--ClassOfWarrantOrRightOu"/>
            <w:bookmarkEnd w:id="390"/>
          </w:p>
        </w:tc>
        <w:tc>
          <w:tcPr>
            <w:tcW w:w="1182" w:type="dxa"/>
            <w:tcBorders/>
            <w:shd w:fill="CCEEFF" w:val="clear"/>
            <w:vAlign w:val="center"/>
          </w:tcPr>
          <w:p>
            <w:pPr>
              <w:pStyle w:val="TableContents"/>
              <w:bidi w:val="0"/>
              <w:spacing w:before="0" w:after="283"/>
              <w:jc w:val="right"/>
              <w:rPr/>
            </w:pPr>
            <w:r>
              <w:rPr/>
              <w:t>256,140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391" w:name="xdx_98B_ecustom--ClassOfWarrantOrRightOu"/>
            <w:bookmarkEnd w:id="391"/>
          </w:p>
        </w:tc>
        <w:tc>
          <w:tcPr>
            <w:tcW w:w="1280" w:type="dxa"/>
            <w:tcBorders/>
            <w:shd w:fill="CCEEFF" w:val="clear"/>
            <w:vAlign w:val="center"/>
          </w:tcPr>
          <w:p>
            <w:pPr>
              <w:pStyle w:val="TableContents"/>
              <w:bidi w:val="0"/>
              <w:spacing w:before="0" w:after="283"/>
              <w:jc w:val="right"/>
              <w:rPr/>
            </w:pPr>
            <w:r>
              <w:rPr/>
              <w:t>302,301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392" w:name="xdx_98B_eus-gaap--ClassOfWarrantOrRightE"/>
            <w:bookmarkEnd w:id="392"/>
          </w:p>
        </w:tc>
        <w:tc>
          <w:tcPr>
            <w:tcW w:w="1197" w:type="dxa"/>
            <w:tcBorders/>
            <w:shd w:fill="CCEEFF" w:val="clear"/>
            <w:vAlign w:val="center"/>
          </w:tcPr>
          <w:p>
            <w:pPr>
              <w:pStyle w:val="TableContents"/>
              <w:bidi w:val="0"/>
              <w:spacing w:before="0" w:after="283"/>
              <w:jc w:val="right"/>
              <w:rPr/>
            </w:pPr>
            <w:r>
              <w:rPr/>
              <w:t>15.53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3/2/2031</w:t>
            </w:r>
          </w:p>
        </w:tc>
      </w:tr>
      <w:tr>
        <w:trPr/>
        <w:tc>
          <w:tcPr>
            <w:tcW w:w="3960" w:type="dxa"/>
            <w:tcBorders/>
            <w:shd w:fill="FFFFFF" w:val="clear"/>
            <w:vAlign w:val="center"/>
          </w:tcPr>
          <w:p>
            <w:pPr>
              <w:pStyle w:val="TableContents"/>
              <w:bidi w:val="0"/>
              <w:spacing w:before="0" w:after="283"/>
              <w:jc w:val="left"/>
              <w:rPr/>
            </w:pPr>
            <w:r>
              <w:rPr/>
              <w:t>December 2025 Note Exchange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393" w:name="xdx_98C_ecustom--ClassOfWarrantOrRightOu"/>
            <w:bookmarkEnd w:id="393"/>
          </w:p>
        </w:tc>
        <w:tc>
          <w:tcPr>
            <w:tcW w:w="1182" w:type="dxa"/>
            <w:tcBorders/>
            <w:shd w:fill="FFFFFF" w:val="clear"/>
            <w:vAlign w:val="center"/>
          </w:tcPr>
          <w:p>
            <w:pPr>
              <w:pStyle w:val="TableContents"/>
              <w:bidi w:val="0"/>
              <w:spacing w:before="0" w:after="283"/>
              <w:jc w:val="right"/>
              <w:rPr/>
            </w:pPr>
            <w:r>
              <w:rPr/>
              <w:t>116,846</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394" w:name="xdx_983_ecustom--ClassOfWarrantOrRightOu"/>
            <w:bookmarkEnd w:id="394"/>
          </w:p>
        </w:tc>
        <w:tc>
          <w:tcPr>
            <w:tcW w:w="1280" w:type="dxa"/>
            <w:tcBorders/>
            <w:shd w:fill="FFFFFF" w:val="clear"/>
            <w:vAlign w:val="center"/>
          </w:tcPr>
          <w:p>
            <w:pPr>
              <w:pStyle w:val="TableContents"/>
              <w:bidi w:val="0"/>
              <w:spacing w:before="0" w:after="283"/>
              <w:jc w:val="right"/>
              <w:rPr/>
            </w:pPr>
            <w:r>
              <w:rPr/>
              <w:t>237,564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395" w:name="xdx_98B_eus-gaap--ClassOfWarrantOrRightE"/>
            <w:bookmarkEnd w:id="395"/>
          </w:p>
        </w:tc>
        <w:tc>
          <w:tcPr>
            <w:tcW w:w="1197" w:type="dxa"/>
            <w:tcBorders/>
            <w:shd w:fill="FFFFFF" w:val="clear"/>
            <w:vAlign w:val="center"/>
          </w:tcPr>
          <w:p>
            <w:pPr>
              <w:pStyle w:val="TableContents"/>
              <w:bidi w:val="0"/>
              <w:spacing w:before="0" w:after="283"/>
              <w:jc w:val="right"/>
              <w:rPr/>
            </w:pPr>
            <w:r>
              <w:rPr/>
              <w:t>16.16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3/2/2031</w:t>
            </w:r>
          </w:p>
        </w:tc>
      </w:tr>
      <w:tr>
        <w:trPr/>
        <w:tc>
          <w:tcPr>
            <w:tcW w:w="3960" w:type="dxa"/>
            <w:tcBorders/>
            <w:shd w:fill="CCEEFF" w:val="clear"/>
            <w:vAlign w:val="center"/>
          </w:tcPr>
          <w:p>
            <w:pPr>
              <w:pStyle w:val="TableContents"/>
              <w:bidi w:val="0"/>
              <w:spacing w:before="0" w:after="283"/>
              <w:jc w:val="left"/>
              <w:rPr/>
            </w:pPr>
            <w:r>
              <w:rPr/>
              <w:t>December 2025 Placement Agent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396" w:name="xdx_98B_ecustom--ClassOfWarrantOrRightOu"/>
            <w:bookmarkEnd w:id="396"/>
          </w:p>
        </w:tc>
        <w:tc>
          <w:tcPr>
            <w:tcW w:w="1182" w:type="dxa"/>
            <w:tcBorders/>
            <w:shd w:fill="CCEEFF" w:val="clear"/>
            <w:vAlign w:val="center"/>
          </w:tcPr>
          <w:p>
            <w:pPr>
              <w:pStyle w:val="TableContents"/>
              <w:bidi w:val="0"/>
              <w:spacing w:before="0" w:after="283"/>
              <w:jc w:val="right"/>
              <w:rPr/>
            </w:pPr>
            <w:r>
              <w:rPr/>
              <w:t>12,604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397" w:name="xdx_988_ecustom--ClassOfWarrantOrRightOu"/>
            <w:bookmarkEnd w:id="397"/>
          </w:p>
        </w:tc>
        <w:tc>
          <w:tcPr>
            <w:tcW w:w="1280" w:type="dxa"/>
            <w:tcBorders/>
            <w:shd w:fill="CCEEFF" w:val="clear"/>
            <w:vAlign w:val="center"/>
          </w:tcPr>
          <w:p>
            <w:pPr>
              <w:pStyle w:val="TableContents"/>
              <w:bidi w:val="0"/>
              <w:spacing w:before="0" w:after="283"/>
              <w:jc w:val="right"/>
              <w:rPr/>
            </w:pPr>
            <w:r>
              <w:rPr/>
              <w:t>12,604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398" w:name="xdx_988_eus-gaap--ClassOfWarrantOrRightE"/>
            <w:bookmarkEnd w:id="398"/>
          </w:p>
        </w:tc>
        <w:tc>
          <w:tcPr>
            <w:tcW w:w="1197" w:type="dxa"/>
            <w:tcBorders/>
            <w:shd w:fill="CCEEFF" w:val="clear"/>
            <w:vAlign w:val="center"/>
          </w:tcPr>
          <w:p>
            <w:pPr>
              <w:pStyle w:val="TableContents"/>
              <w:bidi w:val="0"/>
              <w:spacing w:before="0" w:after="283"/>
              <w:jc w:val="right"/>
              <w:rPr/>
            </w:pPr>
            <w:r>
              <w:rPr/>
              <w:t>19.42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12/16/2030</w:t>
            </w:r>
          </w:p>
        </w:tc>
      </w:tr>
      <w:tr>
        <w:trPr/>
        <w:tc>
          <w:tcPr>
            <w:tcW w:w="3960" w:type="dxa"/>
            <w:tcBorders/>
            <w:shd w:fill="FFFFFF" w:val="clear"/>
            <w:vAlign w:val="center"/>
          </w:tcPr>
          <w:p>
            <w:pPr>
              <w:pStyle w:val="TableContents"/>
              <w:bidi w:val="0"/>
              <w:spacing w:before="0" w:after="283"/>
              <w:jc w:val="left"/>
              <w:rPr/>
            </w:pPr>
            <w:r>
              <w:rPr/>
              <w:t>April 2023 Peak Bio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399" w:name="xdx_989_ecustom--ClassOfWarrantOrRightOu"/>
            <w:bookmarkEnd w:id="399"/>
          </w:p>
        </w:tc>
        <w:tc>
          <w:tcPr>
            <w:tcW w:w="1182" w:type="dxa"/>
            <w:tcBorders/>
            <w:shd w:fill="FFFFFF" w:val="clear"/>
            <w:vAlign w:val="center"/>
          </w:tcPr>
          <w:p>
            <w:pPr>
              <w:pStyle w:val="TableContents"/>
              <w:bidi w:val="0"/>
              <w:spacing w:before="0" w:after="283"/>
              <w:jc w:val="right"/>
              <w:rPr/>
            </w:pPr>
            <w:r>
              <w:rPr/>
              <w:t>8,559</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00" w:name="xdx_98E_ecustom--ClassOfWarrantOrRightOu"/>
            <w:bookmarkEnd w:id="400"/>
          </w:p>
        </w:tc>
        <w:tc>
          <w:tcPr>
            <w:tcW w:w="1280" w:type="dxa"/>
            <w:tcBorders/>
            <w:shd w:fill="FFFFFF" w:val="clear"/>
            <w:vAlign w:val="center"/>
          </w:tcPr>
          <w:p>
            <w:pPr>
              <w:pStyle w:val="TableContents"/>
              <w:bidi w:val="0"/>
              <w:spacing w:before="0" w:after="283"/>
              <w:jc w:val="right"/>
              <w:rPr/>
            </w:pPr>
            <w:r>
              <w:rPr/>
              <w:t>8,559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401" w:name="xdx_987_eus-gaap--ClassOfWarrantOrRightE"/>
            <w:bookmarkEnd w:id="401"/>
          </w:p>
        </w:tc>
        <w:tc>
          <w:tcPr>
            <w:tcW w:w="1197" w:type="dxa"/>
            <w:tcBorders/>
            <w:shd w:fill="FFFFFF" w:val="clear"/>
            <w:vAlign w:val="center"/>
          </w:tcPr>
          <w:p>
            <w:pPr>
              <w:pStyle w:val="TableContents"/>
              <w:bidi w:val="0"/>
              <w:spacing w:before="0" w:after="283"/>
              <w:jc w:val="right"/>
              <w:rPr/>
            </w:pPr>
            <w:r>
              <w:rPr/>
              <w:t>32.40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8/30/2030</w:t>
            </w:r>
          </w:p>
        </w:tc>
      </w:tr>
      <w:tr>
        <w:trPr/>
        <w:tc>
          <w:tcPr>
            <w:tcW w:w="3960" w:type="dxa"/>
            <w:tcBorders/>
            <w:shd w:fill="CCEEFF" w:val="clear"/>
            <w:vAlign w:val="center"/>
          </w:tcPr>
          <w:p>
            <w:pPr>
              <w:pStyle w:val="TableContents"/>
              <w:bidi w:val="0"/>
              <w:spacing w:before="0" w:after="283"/>
              <w:jc w:val="left"/>
              <w:rPr/>
            </w:pPr>
            <w:r>
              <w:rPr/>
              <w:t>March 2025 Series A Investor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402" w:name="xdx_98E_ecustom--ClassOfWarrantOrRightOu"/>
            <w:bookmarkEnd w:id="402"/>
          </w:p>
        </w:tc>
        <w:tc>
          <w:tcPr>
            <w:tcW w:w="1182"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403" w:name="xdx_985_ecustom--ClassOfWarrantOrRightOu"/>
            <w:bookmarkEnd w:id="403"/>
          </w:p>
        </w:tc>
        <w:tc>
          <w:tcPr>
            <w:tcW w:w="1280" w:type="dxa"/>
            <w:tcBorders/>
            <w:shd w:fill="CCEEFF" w:val="clear"/>
            <w:vAlign w:val="center"/>
          </w:tcPr>
          <w:p>
            <w:pPr>
              <w:pStyle w:val="TableContents"/>
              <w:bidi w:val="0"/>
              <w:spacing w:before="0" w:after="283"/>
              <w:jc w:val="right"/>
              <w:rPr/>
            </w:pPr>
            <w:r>
              <w:rPr/>
              <w:t>8,861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404" w:name="xdx_98B_eus-gaap--ClassOfWarrantOrRightE"/>
            <w:bookmarkEnd w:id="404"/>
          </w:p>
        </w:tc>
        <w:tc>
          <w:tcPr>
            <w:tcW w:w="1197" w:type="dxa"/>
            <w:tcBorders/>
            <w:shd w:fill="CCEEFF" w:val="clear"/>
            <w:vAlign w:val="center"/>
          </w:tcPr>
          <w:p>
            <w:pPr>
              <w:pStyle w:val="TableContents"/>
              <w:bidi w:val="0"/>
              <w:spacing w:before="0" w:after="283"/>
              <w:jc w:val="right"/>
              <w:rPr/>
            </w:pPr>
            <w:r>
              <w:rPr/>
              <w:t>34.80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3/6/2026</w:t>
            </w:r>
          </w:p>
        </w:tc>
      </w:tr>
      <w:tr>
        <w:trPr/>
        <w:tc>
          <w:tcPr>
            <w:tcW w:w="3960" w:type="dxa"/>
            <w:tcBorders/>
            <w:shd w:fill="FFFFFF" w:val="clear"/>
            <w:vAlign w:val="center"/>
          </w:tcPr>
          <w:p>
            <w:pPr>
              <w:pStyle w:val="TableContents"/>
              <w:bidi w:val="0"/>
              <w:spacing w:before="0" w:after="283"/>
              <w:jc w:val="left"/>
              <w:rPr/>
            </w:pPr>
            <w:r>
              <w:rPr/>
              <w:t>March 2025 Investor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405" w:name="xdx_98A_ecustom--ClassOfWarrantOrRightOu"/>
            <w:bookmarkEnd w:id="405"/>
          </w:p>
        </w:tc>
        <w:tc>
          <w:tcPr>
            <w:tcW w:w="1182" w:type="dxa"/>
            <w:tcBorders/>
            <w:shd w:fill="FFFFFF" w:val="clear"/>
            <w:vAlign w:val="center"/>
          </w:tcPr>
          <w:p>
            <w:pPr>
              <w:pStyle w:val="TableContents"/>
              <w:bidi w:val="0"/>
              <w:spacing w:before="0" w:after="283"/>
              <w:jc w:val="right"/>
              <w:rPr/>
            </w:pPr>
            <w:r>
              <w:rPr/>
              <w:t>105,285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06" w:name="xdx_98F_ecustom--ClassOfWarrantOrRightOu"/>
            <w:bookmarkEnd w:id="406"/>
          </w:p>
        </w:tc>
        <w:tc>
          <w:tcPr>
            <w:tcW w:w="1280" w:type="dxa"/>
            <w:tcBorders/>
            <w:shd w:fill="FFFFFF" w:val="clear"/>
            <w:vAlign w:val="center"/>
          </w:tcPr>
          <w:p>
            <w:pPr>
              <w:pStyle w:val="TableContents"/>
              <w:bidi w:val="0"/>
              <w:spacing w:before="0" w:after="283"/>
              <w:jc w:val="right"/>
              <w:rPr/>
            </w:pPr>
            <w:r>
              <w:rPr/>
              <w:t>105,285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407" w:name="xdx_982_eus-gaap--ClassOfWarrantOrRightE"/>
            <w:bookmarkEnd w:id="407"/>
          </w:p>
        </w:tc>
        <w:tc>
          <w:tcPr>
            <w:tcW w:w="1197" w:type="dxa"/>
            <w:tcBorders/>
            <w:shd w:fill="FFFFFF" w:val="clear"/>
            <w:vAlign w:val="center"/>
          </w:tcPr>
          <w:p>
            <w:pPr>
              <w:pStyle w:val="TableContents"/>
              <w:bidi w:val="0"/>
              <w:spacing w:before="0" w:after="283"/>
              <w:jc w:val="right"/>
              <w:rPr/>
            </w:pPr>
            <w:r>
              <w:rPr/>
              <w:t>34.80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3/6/2030</w:t>
            </w:r>
          </w:p>
        </w:tc>
      </w:tr>
      <w:tr>
        <w:trPr/>
        <w:tc>
          <w:tcPr>
            <w:tcW w:w="3960" w:type="dxa"/>
            <w:tcBorders/>
            <w:shd w:fill="CCEEFF" w:val="clear"/>
            <w:vAlign w:val="center"/>
          </w:tcPr>
          <w:p>
            <w:pPr>
              <w:pStyle w:val="TableContents"/>
              <w:bidi w:val="0"/>
              <w:spacing w:before="0" w:after="283"/>
              <w:jc w:val="left"/>
              <w:rPr/>
            </w:pPr>
            <w:r>
              <w:rPr/>
              <w:t>April 2025 Series A Investor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408" w:name="xdx_982_ecustom--ClassOfWarrantOrRightOu"/>
            <w:bookmarkEnd w:id="408"/>
          </w:p>
        </w:tc>
        <w:tc>
          <w:tcPr>
            <w:tcW w:w="1182"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409" w:name="xdx_987_ecustom--ClassOfWarrantOrRightOu"/>
            <w:bookmarkEnd w:id="409"/>
          </w:p>
        </w:tc>
        <w:tc>
          <w:tcPr>
            <w:tcW w:w="1280" w:type="dxa"/>
            <w:tcBorders/>
            <w:shd w:fill="CCEEFF" w:val="clear"/>
            <w:vAlign w:val="center"/>
          </w:tcPr>
          <w:p>
            <w:pPr>
              <w:pStyle w:val="TableContents"/>
              <w:bidi w:val="0"/>
              <w:spacing w:before="0" w:after="283"/>
              <w:jc w:val="right"/>
              <w:rPr/>
            </w:pPr>
            <w:r>
              <w:rPr/>
              <w:t>28,036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410" w:name="xdx_989_eus-gaap--ClassOfWarrantOrRightE"/>
            <w:bookmarkEnd w:id="410"/>
          </w:p>
        </w:tc>
        <w:tc>
          <w:tcPr>
            <w:tcW w:w="1197" w:type="dxa"/>
            <w:tcBorders/>
            <w:shd w:fill="CCEEFF" w:val="clear"/>
            <w:vAlign w:val="center"/>
          </w:tcPr>
          <w:p>
            <w:pPr>
              <w:pStyle w:val="TableContents"/>
              <w:bidi w:val="0"/>
              <w:spacing w:before="0" w:after="283"/>
              <w:jc w:val="right"/>
              <w:rPr/>
            </w:pPr>
            <w:r>
              <w:rPr/>
              <w:t>34.80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4/25/2026</w:t>
            </w:r>
          </w:p>
        </w:tc>
      </w:tr>
      <w:tr>
        <w:trPr/>
        <w:tc>
          <w:tcPr>
            <w:tcW w:w="3960" w:type="dxa"/>
            <w:tcBorders/>
            <w:shd w:fill="FFFFFF" w:val="clear"/>
            <w:vAlign w:val="center"/>
          </w:tcPr>
          <w:p>
            <w:pPr>
              <w:pStyle w:val="TableContents"/>
              <w:bidi w:val="0"/>
              <w:spacing w:before="0" w:after="283"/>
              <w:jc w:val="left"/>
              <w:rPr/>
            </w:pPr>
            <w:r>
              <w:rPr/>
              <w:t>April 2025 Investor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411" w:name="xdx_987_ecustom--ClassOfWarrantOrRightOu"/>
            <w:bookmarkEnd w:id="411"/>
          </w:p>
        </w:tc>
        <w:tc>
          <w:tcPr>
            <w:tcW w:w="1182" w:type="dxa"/>
            <w:tcBorders/>
            <w:shd w:fill="FFFFFF" w:val="clear"/>
            <w:vAlign w:val="center"/>
          </w:tcPr>
          <w:p>
            <w:pPr>
              <w:pStyle w:val="TableContents"/>
              <w:bidi w:val="0"/>
              <w:spacing w:before="0" w:after="283"/>
              <w:jc w:val="right"/>
              <w:rPr/>
            </w:pPr>
            <w:r>
              <w:rPr/>
              <w:t>232,258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12" w:name="xdx_986_ecustom--ClassOfWarrantOrRightOu"/>
            <w:bookmarkEnd w:id="412"/>
          </w:p>
        </w:tc>
        <w:tc>
          <w:tcPr>
            <w:tcW w:w="1280" w:type="dxa"/>
            <w:tcBorders/>
            <w:shd w:fill="FFFFFF" w:val="clear"/>
            <w:vAlign w:val="center"/>
          </w:tcPr>
          <w:p>
            <w:pPr>
              <w:pStyle w:val="TableContents"/>
              <w:bidi w:val="0"/>
              <w:spacing w:before="0" w:after="283"/>
              <w:jc w:val="right"/>
              <w:rPr/>
            </w:pPr>
            <w:r>
              <w:rPr/>
              <w:t>232,258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413" w:name="xdx_984_eus-gaap--ClassOfWarrantOrRightE"/>
            <w:bookmarkEnd w:id="413"/>
          </w:p>
        </w:tc>
        <w:tc>
          <w:tcPr>
            <w:tcW w:w="1197" w:type="dxa"/>
            <w:tcBorders/>
            <w:shd w:fill="FFFFFF" w:val="clear"/>
            <w:vAlign w:val="center"/>
          </w:tcPr>
          <w:p>
            <w:pPr>
              <w:pStyle w:val="TableContents"/>
              <w:bidi w:val="0"/>
              <w:spacing w:before="0" w:after="283"/>
              <w:jc w:val="right"/>
              <w:rPr/>
            </w:pPr>
            <w:r>
              <w:rPr/>
              <w:t>34.80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4/25/2030</w:t>
            </w:r>
          </w:p>
        </w:tc>
      </w:tr>
      <w:tr>
        <w:trPr/>
        <w:tc>
          <w:tcPr>
            <w:tcW w:w="3960" w:type="dxa"/>
            <w:tcBorders/>
            <w:shd w:fill="CCEEFF" w:val="clear"/>
            <w:vAlign w:val="center"/>
          </w:tcPr>
          <w:p>
            <w:pPr>
              <w:pStyle w:val="TableContents"/>
              <w:bidi w:val="0"/>
              <w:spacing w:before="0" w:after="283"/>
              <w:jc w:val="left"/>
              <w:rPr/>
            </w:pPr>
            <w:r>
              <w:rPr/>
              <w:t>October 2025 Series E Investor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414" w:name="xdx_985_ecustom--ClassOfWarrantOrRightOu"/>
            <w:bookmarkEnd w:id="414"/>
          </w:p>
        </w:tc>
        <w:tc>
          <w:tcPr>
            <w:tcW w:w="1182" w:type="dxa"/>
            <w:tcBorders/>
            <w:shd w:fill="CCEEFF" w:val="clear"/>
            <w:vAlign w:val="center"/>
          </w:tcPr>
          <w:p>
            <w:pPr>
              <w:pStyle w:val="TableContents"/>
              <w:bidi w:val="0"/>
              <w:spacing w:before="0" w:after="283"/>
              <w:jc w:val="right"/>
              <w:rPr/>
            </w:pPr>
            <w:r>
              <w:rPr/>
              <w:t>78,124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415" w:name="xdx_982_ecustom--ClassOfWarrantOrRightOu"/>
            <w:bookmarkEnd w:id="415"/>
          </w:p>
        </w:tc>
        <w:tc>
          <w:tcPr>
            <w:tcW w:w="1280" w:type="dxa"/>
            <w:tcBorders/>
            <w:shd w:fill="CCEEFF" w:val="clear"/>
            <w:vAlign w:val="center"/>
          </w:tcPr>
          <w:p>
            <w:pPr>
              <w:pStyle w:val="TableContents"/>
              <w:bidi w:val="0"/>
              <w:spacing w:before="0" w:after="283"/>
              <w:jc w:val="right"/>
              <w:rPr/>
            </w:pPr>
            <w:r>
              <w:rPr/>
              <w:t>78,124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416" w:name="xdx_988_eus-gaap--ClassOfWarrantOrRightE"/>
            <w:bookmarkEnd w:id="416"/>
          </w:p>
        </w:tc>
        <w:tc>
          <w:tcPr>
            <w:tcW w:w="1197" w:type="dxa"/>
            <w:tcBorders/>
            <w:shd w:fill="CCEEFF" w:val="clear"/>
            <w:vAlign w:val="center"/>
          </w:tcPr>
          <w:p>
            <w:pPr>
              <w:pStyle w:val="TableContents"/>
              <w:bidi w:val="0"/>
              <w:spacing w:before="0" w:after="283"/>
              <w:jc w:val="right"/>
              <w:rPr/>
            </w:pPr>
            <w:r>
              <w:rPr/>
              <w:t>39.20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12/15/2030</w:t>
            </w:r>
          </w:p>
        </w:tc>
      </w:tr>
      <w:tr>
        <w:trPr/>
        <w:tc>
          <w:tcPr>
            <w:tcW w:w="3960" w:type="dxa"/>
            <w:tcBorders/>
            <w:shd w:fill="FFFFFF" w:val="clear"/>
            <w:vAlign w:val="center"/>
          </w:tcPr>
          <w:p>
            <w:pPr>
              <w:pStyle w:val="TableContents"/>
              <w:bidi w:val="0"/>
              <w:spacing w:before="0" w:after="283"/>
              <w:jc w:val="left"/>
              <w:rPr/>
            </w:pPr>
            <w:r>
              <w:rPr/>
              <w:t>October 2025 Series F Investor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417" w:name="xdx_989_ecustom--ClassOfWarrantOrRightOu"/>
            <w:bookmarkEnd w:id="417"/>
          </w:p>
        </w:tc>
        <w:tc>
          <w:tcPr>
            <w:tcW w:w="1182" w:type="dxa"/>
            <w:tcBorders/>
            <w:shd w:fill="FFFFFF" w:val="clear"/>
            <w:vAlign w:val="center"/>
          </w:tcPr>
          <w:p>
            <w:pPr>
              <w:pStyle w:val="TableContents"/>
              <w:bidi w:val="0"/>
              <w:spacing w:before="0" w:after="283"/>
              <w:jc w:val="right"/>
              <w:rPr/>
            </w:pPr>
            <w:r>
              <w:rPr/>
              <w:t>78,124</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18" w:name="xdx_986_ecustom--ClassOfWarrantOrRightOu"/>
            <w:bookmarkEnd w:id="418"/>
          </w:p>
        </w:tc>
        <w:tc>
          <w:tcPr>
            <w:tcW w:w="1280" w:type="dxa"/>
            <w:tcBorders/>
            <w:shd w:fill="FFFFFF" w:val="clear"/>
            <w:vAlign w:val="center"/>
          </w:tcPr>
          <w:p>
            <w:pPr>
              <w:pStyle w:val="TableContents"/>
              <w:bidi w:val="0"/>
              <w:spacing w:before="0" w:after="283"/>
              <w:jc w:val="right"/>
              <w:rPr/>
            </w:pPr>
            <w:r>
              <w:rPr/>
              <w:t>78,124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419" w:name="xdx_987_eus-gaap--ClassOfWarrantOrRightE"/>
            <w:bookmarkEnd w:id="419"/>
          </w:p>
        </w:tc>
        <w:tc>
          <w:tcPr>
            <w:tcW w:w="1197" w:type="dxa"/>
            <w:tcBorders/>
            <w:shd w:fill="FFFFFF" w:val="clear"/>
            <w:vAlign w:val="center"/>
          </w:tcPr>
          <w:p>
            <w:pPr>
              <w:pStyle w:val="TableContents"/>
              <w:bidi w:val="0"/>
              <w:spacing w:before="0" w:after="283"/>
              <w:jc w:val="right"/>
              <w:rPr/>
            </w:pPr>
            <w:r>
              <w:rPr/>
              <w:t>39.20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6/15/2028</w:t>
            </w:r>
          </w:p>
        </w:tc>
      </w:tr>
      <w:tr>
        <w:trPr/>
        <w:tc>
          <w:tcPr>
            <w:tcW w:w="3960" w:type="dxa"/>
            <w:tcBorders/>
            <w:shd w:fill="CCEEFF" w:val="clear"/>
            <w:vAlign w:val="center"/>
          </w:tcPr>
          <w:p>
            <w:pPr>
              <w:pStyle w:val="TableContents"/>
              <w:bidi w:val="0"/>
              <w:spacing w:before="0" w:after="283"/>
              <w:jc w:val="left"/>
              <w:rPr/>
            </w:pPr>
            <w:r>
              <w:rPr/>
              <w:t>October 2025 Placement Agent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420" w:name="xdx_986_ecustom--ClassOfWarrantOrRightOu"/>
            <w:bookmarkEnd w:id="420"/>
          </w:p>
        </w:tc>
        <w:tc>
          <w:tcPr>
            <w:tcW w:w="1182" w:type="dxa"/>
            <w:tcBorders/>
            <w:shd w:fill="CCEEFF" w:val="clear"/>
            <w:vAlign w:val="center"/>
          </w:tcPr>
          <w:p>
            <w:pPr>
              <w:pStyle w:val="TableContents"/>
              <w:bidi w:val="0"/>
              <w:spacing w:before="0" w:after="283"/>
              <w:jc w:val="right"/>
              <w:rPr/>
            </w:pPr>
            <w:r>
              <w:rPr/>
              <w:t>3,123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421" w:name="xdx_985_ecustom--ClassOfWarrantOrRightOu"/>
            <w:bookmarkEnd w:id="421"/>
          </w:p>
        </w:tc>
        <w:tc>
          <w:tcPr>
            <w:tcW w:w="1280" w:type="dxa"/>
            <w:tcBorders/>
            <w:shd w:fill="CCEEFF" w:val="clear"/>
            <w:vAlign w:val="center"/>
          </w:tcPr>
          <w:p>
            <w:pPr>
              <w:pStyle w:val="TableContents"/>
              <w:bidi w:val="0"/>
              <w:spacing w:before="0" w:after="283"/>
              <w:jc w:val="right"/>
              <w:rPr/>
            </w:pPr>
            <w:r>
              <w:rPr/>
              <w:t>3,123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422" w:name="xdx_983_eus-gaap--ClassOfWarrantOrRightE"/>
            <w:bookmarkEnd w:id="422"/>
          </w:p>
        </w:tc>
        <w:tc>
          <w:tcPr>
            <w:tcW w:w="1197"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10/14/2030</w:t>
            </w:r>
          </w:p>
        </w:tc>
      </w:tr>
      <w:tr>
        <w:trPr/>
        <w:tc>
          <w:tcPr>
            <w:tcW w:w="3960" w:type="dxa"/>
            <w:tcBorders/>
            <w:shd w:fill="FFFFFF" w:val="clear"/>
            <w:vAlign w:val="center"/>
          </w:tcPr>
          <w:p>
            <w:pPr>
              <w:pStyle w:val="TableContents"/>
              <w:bidi w:val="0"/>
              <w:spacing w:before="0" w:after="283"/>
              <w:jc w:val="left"/>
              <w:rPr/>
            </w:pPr>
            <w:r>
              <w:rPr/>
              <w:t>May 2024 Investor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423" w:name="xdx_988_ecustom--ClassOfWarrantOrRightOu"/>
            <w:bookmarkEnd w:id="423"/>
          </w:p>
        </w:tc>
        <w:tc>
          <w:tcPr>
            <w:tcW w:w="1182" w:type="dxa"/>
            <w:tcBorders/>
            <w:shd w:fill="FFFFFF" w:val="clear"/>
            <w:vAlign w:val="center"/>
          </w:tcPr>
          <w:p>
            <w:pPr>
              <w:pStyle w:val="TableContents"/>
              <w:bidi w:val="0"/>
              <w:spacing w:before="0" w:after="283"/>
              <w:jc w:val="right"/>
              <w:rPr/>
            </w:pPr>
            <w:r>
              <w:rPr/>
              <w:t>100,739</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24" w:name="xdx_98E_ecustom--ClassOfWarrantOrRightOu"/>
            <w:bookmarkEnd w:id="424"/>
          </w:p>
        </w:tc>
        <w:tc>
          <w:tcPr>
            <w:tcW w:w="1280" w:type="dxa"/>
            <w:tcBorders/>
            <w:shd w:fill="FFFFFF" w:val="clear"/>
            <w:vAlign w:val="center"/>
          </w:tcPr>
          <w:p>
            <w:pPr>
              <w:pStyle w:val="TableContents"/>
              <w:bidi w:val="0"/>
              <w:spacing w:before="0" w:after="283"/>
              <w:jc w:val="right"/>
              <w:rPr/>
            </w:pPr>
            <w:r>
              <w:rPr/>
              <w:t>100,739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425" w:name="xdx_985_eus-gaap--ClassOfWarrantOrRightE"/>
            <w:bookmarkEnd w:id="425"/>
          </w:p>
        </w:tc>
        <w:tc>
          <w:tcPr>
            <w:tcW w:w="1197" w:type="dxa"/>
            <w:tcBorders/>
            <w:shd w:fill="FFFFFF" w:val="clear"/>
            <w:vAlign w:val="center"/>
          </w:tcPr>
          <w:p>
            <w:pPr>
              <w:pStyle w:val="TableContents"/>
              <w:bidi w:val="0"/>
              <w:spacing w:before="0" w:after="283"/>
              <w:jc w:val="right"/>
              <w:rPr/>
            </w:pPr>
            <w:r>
              <w:rPr/>
              <w:t>70.79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May-Jun 2027</w:t>
            </w:r>
          </w:p>
        </w:tc>
      </w:tr>
      <w:tr>
        <w:trPr/>
        <w:tc>
          <w:tcPr>
            <w:tcW w:w="3960" w:type="dxa"/>
            <w:tcBorders/>
            <w:shd w:fill="CCEEFF" w:val="clear"/>
            <w:vAlign w:val="center"/>
          </w:tcPr>
          <w:p>
            <w:pPr>
              <w:pStyle w:val="TableContents"/>
              <w:bidi w:val="0"/>
              <w:spacing w:before="0" w:after="283"/>
              <w:jc w:val="left"/>
              <w:rPr/>
            </w:pPr>
            <w:r>
              <w:rPr/>
              <w:t>March 2024 Placement Agent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426" w:name="xdx_986_ecustom--ClassOfWarrantOrRightOu"/>
            <w:bookmarkEnd w:id="426"/>
          </w:p>
        </w:tc>
        <w:tc>
          <w:tcPr>
            <w:tcW w:w="1182" w:type="dxa"/>
            <w:tcBorders/>
            <w:shd w:fill="CCEEFF" w:val="clear"/>
            <w:vAlign w:val="center"/>
          </w:tcPr>
          <w:p>
            <w:pPr>
              <w:pStyle w:val="TableContents"/>
              <w:bidi w:val="0"/>
              <w:spacing w:before="0" w:after="283"/>
              <w:jc w:val="right"/>
              <w:rPr/>
            </w:pPr>
            <w:r>
              <w:rPr/>
              <w:t>3,298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427" w:name="xdx_988_ecustom--ClassOfWarrantOrRightOu"/>
            <w:bookmarkEnd w:id="427"/>
          </w:p>
        </w:tc>
        <w:tc>
          <w:tcPr>
            <w:tcW w:w="1280" w:type="dxa"/>
            <w:tcBorders/>
            <w:shd w:fill="CCEEFF" w:val="clear"/>
            <w:vAlign w:val="center"/>
          </w:tcPr>
          <w:p>
            <w:pPr>
              <w:pStyle w:val="TableContents"/>
              <w:bidi w:val="0"/>
              <w:spacing w:before="0" w:after="283"/>
              <w:jc w:val="right"/>
              <w:rPr/>
            </w:pPr>
            <w:r>
              <w:rPr/>
              <w:t>3,298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428" w:name="xdx_980_eus-gaap--ClassOfWarrantOrRightE"/>
            <w:bookmarkEnd w:id="428"/>
          </w:p>
        </w:tc>
        <w:tc>
          <w:tcPr>
            <w:tcW w:w="1197" w:type="dxa"/>
            <w:tcBorders/>
            <w:shd w:fill="CCEEFF" w:val="clear"/>
            <w:vAlign w:val="center"/>
          </w:tcPr>
          <w:p>
            <w:pPr>
              <w:pStyle w:val="TableContents"/>
              <w:bidi w:val="0"/>
              <w:spacing w:before="0" w:after="283"/>
              <w:jc w:val="right"/>
              <w:rPr/>
            </w:pPr>
            <w:r>
              <w:rPr/>
              <w:t>74.00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3/27/2029</w:t>
            </w:r>
          </w:p>
        </w:tc>
      </w:tr>
      <w:tr>
        <w:trPr/>
        <w:tc>
          <w:tcPr>
            <w:tcW w:w="3960" w:type="dxa"/>
            <w:tcBorders/>
            <w:shd w:fill="FFFFFF" w:val="clear"/>
            <w:vAlign w:val="center"/>
          </w:tcPr>
          <w:p>
            <w:pPr>
              <w:pStyle w:val="TableContents"/>
              <w:bidi w:val="0"/>
              <w:spacing w:before="0" w:after="283"/>
              <w:jc w:val="left"/>
              <w:rPr/>
            </w:pPr>
            <w:r>
              <w:rPr/>
              <w:t>May 2024 Placement Agent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429" w:name="xdx_983_ecustom--ClassOfWarrantOrRightOu"/>
            <w:bookmarkEnd w:id="429"/>
          </w:p>
        </w:tc>
        <w:tc>
          <w:tcPr>
            <w:tcW w:w="1182" w:type="dxa"/>
            <w:tcBorders/>
            <w:shd w:fill="FFFFFF" w:val="clear"/>
            <w:vAlign w:val="center"/>
          </w:tcPr>
          <w:p>
            <w:pPr>
              <w:pStyle w:val="TableContents"/>
              <w:bidi w:val="0"/>
              <w:spacing w:before="0" w:after="283"/>
              <w:jc w:val="right"/>
              <w:rPr/>
            </w:pPr>
            <w:r>
              <w:rPr/>
              <w:t>8,056</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30" w:name="xdx_980_ecustom--ClassOfWarrantOrRightOu"/>
            <w:bookmarkEnd w:id="430"/>
          </w:p>
        </w:tc>
        <w:tc>
          <w:tcPr>
            <w:tcW w:w="1280" w:type="dxa"/>
            <w:tcBorders/>
            <w:shd w:fill="FFFFFF" w:val="clear"/>
            <w:vAlign w:val="center"/>
          </w:tcPr>
          <w:p>
            <w:pPr>
              <w:pStyle w:val="TableContents"/>
              <w:bidi w:val="0"/>
              <w:spacing w:before="0" w:after="283"/>
              <w:jc w:val="right"/>
              <w:rPr/>
            </w:pPr>
            <w:r>
              <w:rPr/>
              <w:t>8,056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431" w:name="xdx_988_eus-gaap--ClassOfWarrantOrRightE"/>
            <w:bookmarkEnd w:id="431"/>
          </w:p>
        </w:tc>
        <w:tc>
          <w:tcPr>
            <w:tcW w:w="1197" w:type="dxa"/>
            <w:tcBorders/>
            <w:shd w:fill="FFFFFF" w:val="clear"/>
            <w:vAlign w:val="center"/>
          </w:tcPr>
          <w:p>
            <w:pPr>
              <w:pStyle w:val="TableContents"/>
              <w:bidi w:val="0"/>
              <w:spacing w:before="0" w:after="283"/>
              <w:jc w:val="right"/>
              <w:rPr/>
            </w:pPr>
            <w:r>
              <w:rPr/>
              <w:t>75.40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5/31/2029</w:t>
            </w:r>
          </w:p>
        </w:tc>
      </w:tr>
      <w:tr>
        <w:trPr/>
        <w:tc>
          <w:tcPr>
            <w:tcW w:w="3960" w:type="dxa"/>
            <w:tcBorders/>
            <w:shd w:fill="CCEEFF" w:val="clear"/>
            <w:vAlign w:val="center"/>
          </w:tcPr>
          <w:p>
            <w:pPr>
              <w:pStyle w:val="TableContents"/>
              <w:bidi w:val="0"/>
              <w:spacing w:before="0" w:after="283"/>
              <w:jc w:val="left"/>
              <w:rPr/>
            </w:pPr>
            <w:r>
              <w:rPr/>
              <w:t>November 2024 Investor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432" w:name="xdx_982_ecustom--ClassOfWarrantOrRightOu"/>
            <w:bookmarkEnd w:id="432"/>
          </w:p>
        </w:tc>
        <w:tc>
          <w:tcPr>
            <w:tcW w:w="1182" w:type="dxa"/>
            <w:tcBorders/>
            <w:shd w:fill="CCEEFF" w:val="clear"/>
            <w:vAlign w:val="center"/>
          </w:tcPr>
          <w:p>
            <w:pPr>
              <w:pStyle w:val="TableContents"/>
              <w:bidi w:val="0"/>
              <w:spacing w:before="0" w:after="283"/>
              <w:jc w:val="right"/>
              <w:rPr/>
            </w:pPr>
            <w:r>
              <w:rPr/>
              <w:t>42,832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433" w:name="xdx_980_ecustom--ClassOfWarrantOrRightOu"/>
            <w:bookmarkEnd w:id="433"/>
          </w:p>
        </w:tc>
        <w:tc>
          <w:tcPr>
            <w:tcW w:w="1280" w:type="dxa"/>
            <w:tcBorders/>
            <w:shd w:fill="CCEEFF" w:val="clear"/>
            <w:vAlign w:val="center"/>
          </w:tcPr>
          <w:p>
            <w:pPr>
              <w:pStyle w:val="TableContents"/>
              <w:bidi w:val="0"/>
              <w:spacing w:before="0" w:after="283"/>
              <w:jc w:val="right"/>
              <w:rPr/>
            </w:pPr>
            <w:r>
              <w:rPr/>
              <w:t>42,832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434" w:name="xdx_989_eus-gaap--ClassOfWarrantOrRightE"/>
            <w:bookmarkEnd w:id="434"/>
          </w:p>
        </w:tc>
        <w:tc>
          <w:tcPr>
            <w:tcW w:w="1197" w:type="dxa"/>
            <w:tcBorders/>
            <w:shd w:fill="CCEEFF" w:val="clear"/>
            <w:vAlign w:val="center"/>
          </w:tcPr>
          <w:p>
            <w:pPr>
              <w:pStyle w:val="TableContents"/>
              <w:bidi w:val="0"/>
              <w:spacing w:before="0" w:after="283"/>
              <w:jc w:val="right"/>
              <w:rPr/>
            </w:pPr>
            <w:r>
              <w:rPr/>
              <w:t>90.40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Dec 2027-Jun 2028</w:t>
            </w:r>
          </w:p>
        </w:tc>
      </w:tr>
      <w:tr>
        <w:trPr/>
        <w:tc>
          <w:tcPr>
            <w:tcW w:w="3960" w:type="dxa"/>
            <w:tcBorders/>
            <w:shd w:fill="FFFFFF" w:val="clear"/>
            <w:vAlign w:val="center"/>
          </w:tcPr>
          <w:p>
            <w:pPr>
              <w:pStyle w:val="TableContents"/>
              <w:bidi w:val="0"/>
              <w:spacing w:before="0" w:after="283"/>
              <w:jc w:val="left"/>
              <w:rPr/>
            </w:pPr>
            <w:r>
              <w:rPr/>
              <w:t>October 2023 Placement Agent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435" w:name="xdx_98E_ecustom--ClassOfWarrantOrRightOu"/>
            <w:bookmarkEnd w:id="435"/>
          </w:p>
        </w:tc>
        <w:tc>
          <w:tcPr>
            <w:tcW w:w="1182" w:type="dxa"/>
            <w:tcBorders/>
            <w:shd w:fill="FFFFFF" w:val="clear"/>
            <w:vAlign w:val="center"/>
          </w:tcPr>
          <w:p>
            <w:pPr>
              <w:pStyle w:val="TableContents"/>
              <w:bidi w:val="0"/>
              <w:spacing w:before="0" w:after="283"/>
              <w:jc w:val="right"/>
              <w:rPr/>
            </w:pPr>
            <w:r>
              <w:rPr/>
              <w:t>1,058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36" w:name="xdx_980_ecustom--ClassOfWarrantOrRightOu"/>
            <w:bookmarkEnd w:id="436"/>
          </w:p>
        </w:tc>
        <w:tc>
          <w:tcPr>
            <w:tcW w:w="1280" w:type="dxa"/>
            <w:tcBorders/>
            <w:shd w:fill="FFFFFF" w:val="clear"/>
            <w:vAlign w:val="center"/>
          </w:tcPr>
          <w:p>
            <w:pPr>
              <w:pStyle w:val="TableContents"/>
              <w:bidi w:val="0"/>
              <w:spacing w:before="0" w:after="283"/>
              <w:jc w:val="right"/>
              <w:rPr/>
            </w:pPr>
            <w:r>
              <w:rPr/>
              <w:t>1,058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437" w:name="xdx_98E_eus-gaap--ClassOfWarrantOrRightE"/>
            <w:bookmarkEnd w:id="437"/>
          </w:p>
        </w:tc>
        <w:tc>
          <w:tcPr>
            <w:tcW w:w="1197" w:type="dxa"/>
            <w:tcBorders/>
            <w:shd w:fill="FFFFFF" w:val="clear"/>
            <w:vAlign w:val="center"/>
          </w:tcPr>
          <w:p>
            <w:pPr>
              <w:pStyle w:val="TableContents"/>
              <w:bidi w:val="0"/>
              <w:spacing w:before="0" w:after="283"/>
              <w:jc w:val="right"/>
              <w:rPr/>
            </w:pPr>
            <w:r>
              <w:rPr/>
              <w:t>165.20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10/6/2028</w:t>
            </w:r>
          </w:p>
        </w:tc>
      </w:tr>
      <w:tr>
        <w:trPr/>
        <w:tc>
          <w:tcPr>
            <w:tcW w:w="3960" w:type="dxa"/>
            <w:tcBorders/>
            <w:shd w:fill="CCEEFF" w:val="clear"/>
            <w:vAlign w:val="center"/>
          </w:tcPr>
          <w:p>
            <w:pPr>
              <w:pStyle w:val="TableContents"/>
              <w:bidi w:val="0"/>
              <w:spacing w:before="0" w:after="283"/>
              <w:jc w:val="left"/>
              <w:rPr/>
            </w:pPr>
            <w:r>
              <w:rPr/>
              <w:t>March 2022 Investor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438" w:name="xdx_98C_ecustom--ClassOfWarrantOrRightOu"/>
            <w:bookmarkEnd w:id="438"/>
          </w:p>
        </w:tc>
        <w:tc>
          <w:tcPr>
            <w:tcW w:w="1182" w:type="dxa"/>
            <w:tcBorders/>
            <w:shd w:fill="CCEEFF" w:val="clear"/>
            <w:vAlign w:val="center"/>
          </w:tcPr>
          <w:p>
            <w:pPr>
              <w:pStyle w:val="TableContents"/>
              <w:bidi w:val="0"/>
              <w:spacing w:before="0" w:after="283"/>
              <w:jc w:val="right"/>
              <w:rPr/>
            </w:pPr>
            <w:r>
              <w:rPr/>
              <w:t>4,637</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439" w:name="xdx_98E_ecustom--ClassOfWarrantOrRightOu"/>
            <w:bookmarkEnd w:id="439"/>
          </w:p>
        </w:tc>
        <w:tc>
          <w:tcPr>
            <w:tcW w:w="1280" w:type="dxa"/>
            <w:tcBorders/>
            <w:shd w:fill="CCEEFF" w:val="clear"/>
            <w:vAlign w:val="center"/>
          </w:tcPr>
          <w:p>
            <w:pPr>
              <w:pStyle w:val="TableContents"/>
              <w:bidi w:val="0"/>
              <w:spacing w:before="0" w:after="283"/>
              <w:jc w:val="right"/>
              <w:rPr/>
            </w:pPr>
            <w:r>
              <w:rPr/>
              <w:t>4,637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440" w:name="xdx_98E_eus-gaap--ClassOfWarrantOrRightE"/>
            <w:bookmarkEnd w:id="440"/>
          </w:p>
        </w:tc>
        <w:tc>
          <w:tcPr>
            <w:tcW w:w="1197" w:type="dxa"/>
            <w:tcBorders/>
            <w:shd w:fill="CCEEFF" w:val="clear"/>
            <w:vAlign w:val="center"/>
          </w:tcPr>
          <w:p>
            <w:pPr>
              <w:pStyle w:val="TableContents"/>
              <w:bidi w:val="0"/>
              <w:spacing w:before="0" w:after="283"/>
              <w:jc w:val="right"/>
              <w:rPr/>
            </w:pPr>
            <w:r>
              <w:rPr/>
              <w:t>1,120.00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3/10/2027</w:t>
            </w:r>
          </w:p>
        </w:tc>
      </w:tr>
      <w:tr>
        <w:trPr/>
        <w:tc>
          <w:tcPr>
            <w:tcW w:w="3960" w:type="dxa"/>
            <w:tcBorders/>
            <w:shd w:fill="FFFFFF" w:val="clear"/>
            <w:vAlign w:val="center"/>
          </w:tcPr>
          <w:p>
            <w:pPr>
              <w:pStyle w:val="TableContents"/>
              <w:bidi w:val="0"/>
              <w:spacing w:before="0" w:after="283"/>
              <w:jc w:val="left"/>
              <w:rPr/>
            </w:pPr>
            <w:r>
              <w:rPr/>
              <w:t>March 2022 Placement Agent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441" w:name="xdx_98A_ecustom--ClassOfWarrantOrRightOu"/>
            <w:bookmarkEnd w:id="441"/>
          </w:p>
        </w:tc>
        <w:tc>
          <w:tcPr>
            <w:tcW w:w="1182" w:type="dxa"/>
            <w:tcBorders/>
            <w:shd w:fill="FFFFFF" w:val="clear"/>
            <w:vAlign w:val="center"/>
          </w:tcPr>
          <w:p>
            <w:pPr>
              <w:pStyle w:val="TableContents"/>
              <w:bidi w:val="0"/>
              <w:spacing w:before="0" w:after="283"/>
              <w:jc w:val="right"/>
              <w:rPr/>
            </w:pPr>
            <w:r>
              <w:rPr/>
              <w:t>364</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42" w:name="xdx_987_ecustom--ClassOfWarrantOrRightOu"/>
            <w:bookmarkEnd w:id="442"/>
          </w:p>
        </w:tc>
        <w:tc>
          <w:tcPr>
            <w:tcW w:w="1280" w:type="dxa"/>
            <w:tcBorders/>
            <w:shd w:fill="FFFFFF" w:val="clear"/>
            <w:vAlign w:val="center"/>
          </w:tcPr>
          <w:p>
            <w:pPr>
              <w:pStyle w:val="TableContents"/>
              <w:bidi w:val="0"/>
              <w:spacing w:before="0" w:after="283"/>
              <w:jc w:val="right"/>
              <w:rPr/>
            </w:pPr>
            <w:r>
              <w:rPr/>
              <w:t>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443" w:name="xdx_98C_eus-gaap--ClassOfWarrantOrRightE"/>
            <w:bookmarkEnd w:id="443"/>
          </w:p>
        </w:tc>
        <w:tc>
          <w:tcPr>
            <w:tcW w:w="1197" w:type="dxa"/>
            <w:tcBorders/>
            <w:shd w:fill="FFFFFF" w:val="clear"/>
            <w:vAlign w:val="center"/>
          </w:tcPr>
          <w:p>
            <w:pPr>
              <w:pStyle w:val="TableContents"/>
              <w:bidi w:val="0"/>
              <w:spacing w:before="0" w:after="283"/>
              <w:jc w:val="right"/>
              <w:rPr/>
            </w:pPr>
            <w:r>
              <w:rPr/>
              <w:t>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3/10/2027</w:t>
            </w:r>
          </w:p>
        </w:tc>
      </w:tr>
      <w:tr>
        <w:trPr/>
        <w:tc>
          <w:tcPr>
            <w:tcW w:w="3960" w:type="dxa"/>
            <w:tcBorders/>
            <w:shd w:fill="CCEEFF" w:val="clear"/>
            <w:vAlign w:val="center"/>
          </w:tcPr>
          <w:p>
            <w:pPr>
              <w:pStyle w:val="TableContents"/>
              <w:bidi w:val="0"/>
              <w:spacing w:before="0" w:after="283"/>
              <w:jc w:val="left"/>
              <w:rPr/>
            </w:pPr>
            <w:r>
              <w:rPr/>
              <w:t>December 2021 Investor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444" w:name="xdx_980_ecustom--ClassOfWarrantOrRightOu"/>
            <w:bookmarkEnd w:id="444"/>
          </w:p>
        </w:tc>
        <w:tc>
          <w:tcPr>
            <w:tcW w:w="1182" w:type="dxa"/>
            <w:tcBorders/>
            <w:shd w:fill="CCEEFF" w:val="clear"/>
            <w:vAlign w:val="center"/>
          </w:tcPr>
          <w:p>
            <w:pPr>
              <w:pStyle w:val="TableContents"/>
              <w:bidi w:val="0"/>
              <w:spacing w:before="0" w:after="283"/>
              <w:jc w:val="right"/>
              <w:rPr/>
            </w:pPr>
            <w:r>
              <w:rPr/>
              <w:t>2,681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445" w:name="xdx_982_ecustom--ClassOfWarrantOrRightOu"/>
            <w:bookmarkEnd w:id="445"/>
          </w:p>
        </w:tc>
        <w:tc>
          <w:tcPr>
            <w:tcW w:w="1280" w:type="dxa"/>
            <w:tcBorders/>
            <w:shd w:fill="CCEEFF" w:val="clear"/>
            <w:vAlign w:val="center"/>
          </w:tcPr>
          <w:p>
            <w:pPr>
              <w:pStyle w:val="TableContents"/>
              <w:bidi w:val="0"/>
              <w:spacing w:before="0" w:after="283"/>
              <w:jc w:val="right"/>
              <w:rPr/>
            </w:pPr>
            <w:r>
              <w:rPr/>
              <w:t>2,681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446" w:name="xdx_98C_eus-gaap--ClassOfWarrantOrRightE"/>
            <w:bookmarkEnd w:id="446"/>
          </w:p>
        </w:tc>
        <w:tc>
          <w:tcPr>
            <w:tcW w:w="1197" w:type="dxa"/>
            <w:tcBorders/>
            <w:shd w:fill="CCEEFF" w:val="clear"/>
            <w:vAlign w:val="center"/>
          </w:tcPr>
          <w:p>
            <w:pPr>
              <w:pStyle w:val="TableContents"/>
              <w:bidi w:val="0"/>
              <w:spacing w:before="0" w:after="283"/>
              <w:jc w:val="right"/>
              <w:rPr/>
            </w:pPr>
            <w:r>
              <w:rPr/>
              <w:t>1,320.00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1/4/2027</w:t>
            </w:r>
          </w:p>
        </w:tc>
      </w:tr>
      <w:tr>
        <w:trPr/>
        <w:tc>
          <w:tcPr>
            <w:tcW w:w="3960" w:type="dxa"/>
            <w:tcBorders/>
            <w:shd w:fill="FFFFFF" w:val="clear"/>
            <w:vAlign w:val="center"/>
          </w:tcPr>
          <w:p>
            <w:pPr>
              <w:pStyle w:val="TableContents"/>
              <w:bidi w:val="0"/>
              <w:spacing w:before="0" w:after="283"/>
              <w:jc w:val="left"/>
              <w:rPr/>
            </w:pPr>
            <w:r>
              <w:rPr/>
              <w:t xml:space="preserve">December 2021 Placement Agent </w:t>
              <w:br/>
              <w:t>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447" w:name="xdx_98D_ecustom--ClassOfWarrantOrRightOu"/>
            <w:bookmarkEnd w:id="447"/>
          </w:p>
        </w:tc>
        <w:tc>
          <w:tcPr>
            <w:tcW w:w="1182" w:type="dxa"/>
            <w:tcBorders/>
            <w:shd w:fill="FFFFFF" w:val="clear"/>
            <w:vAlign w:val="center"/>
          </w:tcPr>
          <w:p>
            <w:pPr>
              <w:pStyle w:val="TableContents"/>
              <w:bidi w:val="0"/>
              <w:spacing w:before="0" w:after="283"/>
              <w:jc w:val="right"/>
              <w:rPr/>
            </w:pPr>
            <w:r>
              <w:rPr/>
              <w:t>208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48" w:name="xdx_98B_ecustom--ClassOfWarrantOrRightOu"/>
            <w:bookmarkEnd w:id="448"/>
          </w:p>
        </w:tc>
        <w:tc>
          <w:tcPr>
            <w:tcW w:w="1280" w:type="dxa"/>
            <w:tcBorders/>
            <w:shd w:fill="FFFFFF" w:val="clear"/>
            <w:vAlign w:val="center"/>
          </w:tcPr>
          <w:p>
            <w:pPr>
              <w:pStyle w:val="TableContents"/>
              <w:bidi w:val="0"/>
              <w:spacing w:before="0" w:after="283"/>
              <w:jc w:val="right"/>
              <w:rPr/>
            </w:pPr>
            <w:r>
              <w:rPr/>
              <w:t>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449" w:name="xdx_988_eus-gaap--ClassOfWarrantOrRightE"/>
            <w:bookmarkEnd w:id="449"/>
          </w:p>
        </w:tc>
        <w:tc>
          <w:tcPr>
            <w:tcW w:w="1197" w:type="dxa"/>
            <w:tcBorders/>
            <w:shd w:fill="FFFFFF" w:val="clear"/>
            <w:vAlign w:val="center"/>
          </w:tcPr>
          <w:p>
            <w:pPr>
              <w:pStyle w:val="TableContents"/>
              <w:bidi w:val="0"/>
              <w:spacing w:before="0" w:after="283"/>
              <w:jc w:val="right"/>
              <w:rPr/>
            </w:pPr>
            <w:r>
              <w:rPr/>
              <w:t>1,400.00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12/29/2026</w:t>
            </w:r>
          </w:p>
        </w:tc>
      </w:tr>
      <w:tr>
        <w:trPr/>
        <w:tc>
          <w:tcPr>
            <w:tcW w:w="3960" w:type="dxa"/>
            <w:tcBorders/>
            <w:shd w:fill="CCEEFF" w:val="clear"/>
            <w:vAlign w:val="center"/>
          </w:tcPr>
          <w:p>
            <w:pPr>
              <w:pStyle w:val="TableContents"/>
              <w:bidi w:val="0"/>
              <w:spacing w:before="0" w:after="283"/>
              <w:jc w:val="left"/>
              <w:rPr/>
            </w:pPr>
            <w:r>
              <w:rPr/>
              <w:t>July 2021 Placement Agent Warrants</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50" w:name="xdx_98F_ecustom--ClassOfWarrantOrRightOu"/>
            <w:bookmarkEnd w:id="450"/>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487</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51" w:name="xdx_989_ecustom--ClassOfWarrantOrRightOu"/>
            <w:bookmarkEnd w:id="451"/>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452" w:name="xdx_985_eus-gaap--ClassOfWarrantOrRightE"/>
            <w:bookmarkEnd w:id="452"/>
          </w:p>
        </w:tc>
        <w:tc>
          <w:tcPr>
            <w:tcW w:w="1197" w:type="dxa"/>
            <w:tcBorders/>
            <w:shd w:fill="CCEEFF" w:val="clear"/>
            <w:vAlign w:val="center"/>
          </w:tcPr>
          <w:p>
            <w:pPr>
              <w:pStyle w:val="TableContents"/>
              <w:bidi w:val="0"/>
              <w:spacing w:before="0" w:after="283"/>
              <w:jc w:val="right"/>
              <w:rPr/>
            </w:pPr>
            <w:r>
              <w:rPr/>
              <w:t>1,856.00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7/7/2026</w:t>
            </w:r>
          </w:p>
        </w:tc>
      </w:tr>
      <w:tr>
        <w:trPr/>
        <w:tc>
          <w:tcPr>
            <w:tcW w:w="3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453" w:name="xdx_983_ecustom--ClassOfWarrantOrRightOu"/>
            <w:bookmarkEnd w:id="453"/>
          </w:p>
        </w:tc>
        <w:tc>
          <w:tcPr>
            <w:tcW w:w="1182" w:type="dxa"/>
            <w:tcBorders/>
            <w:shd w:fill="FFFFFF" w:val="clear"/>
            <w:vAlign w:val="center"/>
          </w:tcPr>
          <w:p>
            <w:pPr>
              <w:pStyle w:val="TableContents"/>
              <w:bidi w:val="0"/>
              <w:spacing w:before="0" w:after="283"/>
              <w:jc w:val="right"/>
              <w:rPr/>
            </w:pPr>
            <w:r>
              <w:rPr/>
              <w:t>6,855,820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54" w:name="xdx_98B_ecustom--ClassOfWarrantOrRightOu"/>
            <w:bookmarkEnd w:id="454"/>
          </w:p>
        </w:tc>
        <w:tc>
          <w:tcPr>
            <w:tcW w:w="1280" w:type="dxa"/>
            <w:tcBorders/>
            <w:shd w:fill="FFFFFF" w:val="clear"/>
            <w:vAlign w:val="center"/>
          </w:tcPr>
          <w:p>
            <w:pPr>
              <w:pStyle w:val="TableContents"/>
              <w:bidi w:val="0"/>
              <w:spacing w:before="0" w:after="283"/>
              <w:jc w:val="right"/>
              <w:rPr/>
            </w:pPr>
            <w:r>
              <w:rPr/>
              <w:t>1,603,311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 </w:t>
            </w:r>
          </w:p>
        </w:tc>
      </w:tr>
      <w:tr>
        <w:trPr/>
        <w:tc>
          <w:tcPr>
            <w:tcW w:w="3960" w:type="dxa"/>
            <w:tcBorders/>
            <w:shd w:fill="CCEEFF" w:val="clear"/>
            <w:vAlign w:val="center"/>
          </w:tcPr>
          <w:p>
            <w:pPr>
              <w:pStyle w:val="TableContents"/>
              <w:bidi w:val="0"/>
              <w:spacing w:before="0" w:after="283"/>
              <w:jc w:val="left"/>
              <w:rPr>
                <w:b/>
              </w:rPr>
            </w:pPr>
            <w:r>
              <w:rPr>
                <w:b/>
              </w:rPr>
              <w:t>Liability-classified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 </w:t>
            </w:r>
          </w:p>
        </w:tc>
      </w:tr>
      <w:tr>
        <w:trPr/>
        <w:tc>
          <w:tcPr>
            <w:tcW w:w="3960" w:type="dxa"/>
            <w:tcBorders/>
            <w:shd w:fill="FFFFFF" w:val="clear"/>
            <w:vAlign w:val="center"/>
          </w:tcPr>
          <w:p>
            <w:pPr>
              <w:pStyle w:val="TableContents"/>
              <w:bidi w:val="0"/>
              <w:spacing w:before="0" w:after="283"/>
              <w:jc w:val="left"/>
              <w:rPr/>
            </w:pPr>
            <w:r>
              <w:rPr/>
              <w:t>April 2023 Peak Bio Warrants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455" w:name="xdx_98B_ecustom--ClassOfWarrantOrRightOu"/>
            <w:bookmarkEnd w:id="455"/>
          </w:p>
        </w:tc>
        <w:tc>
          <w:tcPr>
            <w:tcW w:w="1182" w:type="dxa"/>
            <w:tcBorders/>
            <w:shd w:fill="FFFFFF" w:val="clear"/>
            <w:vAlign w:val="center"/>
          </w:tcPr>
          <w:p>
            <w:pPr>
              <w:pStyle w:val="TableContents"/>
              <w:bidi w:val="0"/>
              <w:spacing w:before="0" w:after="283"/>
              <w:jc w:val="right"/>
              <w:rPr/>
            </w:pPr>
            <w:r>
              <w:rPr/>
              <w:t>21,107</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56" w:name="xdx_98E_ecustom--ClassOfWarrantOrRightOu"/>
            <w:bookmarkEnd w:id="456"/>
          </w:p>
        </w:tc>
        <w:tc>
          <w:tcPr>
            <w:tcW w:w="1280" w:type="dxa"/>
            <w:tcBorders/>
            <w:shd w:fill="FFFFFF" w:val="clear"/>
            <w:vAlign w:val="center"/>
          </w:tcPr>
          <w:p>
            <w:pPr>
              <w:pStyle w:val="TableContents"/>
              <w:bidi w:val="0"/>
              <w:spacing w:before="0" w:after="283"/>
              <w:jc w:val="right"/>
              <w:rPr/>
            </w:pPr>
            <w:r>
              <w:rPr/>
              <w:t>21,107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457" w:name="xdx_98F_eus-gaap--ClassOfWarrantOrRightE"/>
            <w:bookmarkEnd w:id="457"/>
          </w:p>
        </w:tc>
        <w:tc>
          <w:tcPr>
            <w:tcW w:w="1197" w:type="dxa"/>
            <w:tcBorders/>
            <w:shd w:fill="FFFFFF" w:val="clear"/>
            <w:vAlign w:val="center"/>
          </w:tcPr>
          <w:p>
            <w:pPr>
              <w:pStyle w:val="TableContents"/>
              <w:bidi w:val="0"/>
              <w:spacing w:before="0" w:after="283"/>
              <w:jc w:val="right"/>
              <w:rPr/>
            </w:pPr>
            <w:r>
              <w:rPr/>
              <w:t>81.60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4/28/2028</w:t>
            </w:r>
          </w:p>
        </w:tc>
      </w:tr>
      <w:tr>
        <w:trPr/>
        <w:tc>
          <w:tcPr>
            <w:tcW w:w="3960" w:type="dxa"/>
            <w:tcBorders/>
            <w:shd w:fill="CCEEFF" w:val="clear"/>
            <w:vAlign w:val="center"/>
          </w:tcPr>
          <w:p>
            <w:pPr>
              <w:pStyle w:val="TableContents"/>
              <w:bidi w:val="0"/>
              <w:spacing w:before="0" w:after="283"/>
              <w:jc w:val="left"/>
              <w:rPr/>
            </w:pPr>
            <w:r>
              <w:rPr/>
              <w:t>September 2022 Series B Investor Warrants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458" w:name="xdx_985_ecustom--ClassOfWarrantOrRightOu"/>
            <w:bookmarkEnd w:id="458"/>
          </w:p>
        </w:tc>
        <w:tc>
          <w:tcPr>
            <w:tcW w:w="1182" w:type="dxa"/>
            <w:tcBorders/>
            <w:shd w:fill="CCEEFF" w:val="clear"/>
            <w:vAlign w:val="center"/>
          </w:tcPr>
          <w:p>
            <w:pPr>
              <w:pStyle w:val="TableContents"/>
              <w:bidi w:val="0"/>
              <w:spacing w:before="0" w:after="283"/>
              <w:jc w:val="right"/>
              <w:rPr/>
            </w:pPr>
            <w:r>
              <w:rPr/>
              <w:t>12,988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459" w:name="xdx_981_ecustom--ClassOfWarrantOrRightOu"/>
            <w:bookmarkEnd w:id="459"/>
          </w:p>
        </w:tc>
        <w:tc>
          <w:tcPr>
            <w:tcW w:w="1280" w:type="dxa"/>
            <w:tcBorders/>
            <w:shd w:fill="CCEEFF" w:val="clear"/>
            <w:vAlign w:val="center"/>
          </w:tcPr>
          <w:p>
            <w:pPr>
              <w:pStyle w:val="TableContents"/>
              <w:bidi w:val="0"/>
              <w:spacing w:before="0" w:after="283"/>
              <w:jc w:val="right"/>
              <w:rPr/>
            </w:pPr>
            <w:r>
              <w:rPr/>
              <w:t>12,988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460" w:name="xdx_984_eus-gaap--ClassOfWarrantOrRightE"/>
            <w:bookmarkEnd w:id="460"/>
          </w:p>
        </w:tc>
        <w:tc>
          <w:tcPr>
            <w:tcW w:w="1197" w:type="dxa"/>
            <w:tcBorders/>
            <w:shd w:fill="CCEEFF" w:val="clear"/>
            <w:vAlign w:val="center"/>
          </w:tcPr>
          <w:p>
            <w:pPr>
              <w:pStyle w:val="TableContents"/>
              <w:bidi w:val="0"/>
              <w:spacing w:before="0" w:after="283"/>
              <w:jc w:val="right"/>
              <w:rPr/>
            </w:pPr>
            <w:r>
              <w:rPr/>
              <w:t>680.00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9/14/2029</w:t>
            </w:r>
          </w:p>
        </w:tc>
      </w:tr>
      <w:tr>
        <w:trPr/>
        <w:tc>
          <w:tcPr>
            <w:tcW w:w="3960" w:type="dxa"/>
            <w:tcBorders/>
            <w:shd w:fill="FFFFFF" w:val="clear"/>
            <w:vAlign w:val="center"/>
          </w:tcPr>
          <w:p>
            <w:pPr>
              <w:pStyle w:val="TableContents"/>
              <w:bidi w:val="0"/>
              <w:spacing w:before="0" w:after="283"/>
              <w:jc w:val="left"/>
              <w:rPr/>
            </w:pPr>
            <w:r>
              <w:rPr/>
              <w:t>November 2022 Peak Bio Warrants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1" w:name="xdx_981_ecustom--ClassOfWarrantOrRightOu"/>
            <w:bookmarkEnd w:id="461"/>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39,432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2" w:name="xdx_981_ecustom--ClassOfWarrantOrRightOu"/>
            <w:bookmarkEnd w:id="462"/>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39,432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bookmarkStart w:id="463" w:name="xdx_988_eus-gaap--ClassOfWarrantOrRightE"/>
            <w:bookmarkEnd w:id="463"/>
          </w:p>
        </w:tc>
        <w:tc>
          <w:tcPr>
            <w:tcW w:w="1197" w:type="dxa"/>
            <w:tcBorders/>
            <w:shd w:fill="FFFFFF" w:val="clear"/>
            <w:vAlign w:val="center"/>
          </w:tcPr>
          <w:p>
            <w:pPr>
              <w:pStyle w:val="TableContents"/>
              <w:bidi w:val="0"/>
              <w:spacing w:before="0" w:after="283"/>
              <w:jc w:val="right"/>
              <w:rPr/>
            </w:pPr>
            <w:r>
              <w:rPr/>
              <w:t>1,567.20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11/1/2027</w:t>
            </w:r>
          </w:p>
        </w:tc>
      </w:tr>
      <w:tr>
        <w:trPr/>
        <w:tc>
          <w:tcPr>
            <w:tcW w:w="3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4" w:name="xdx_98A_ecustom--LiabilityclassifiedWarr"/>
            <w:bookmarkEnd w:id="464"/>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73,527</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5" w:name="xdx_980_ecustom--LiabilityclassifiedWarr"/>
            <w:bookmarkEnd w:id="465"/>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73,527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1" w:type="dxa"/>
            <w:tcBorders/>
            <w:shd w:fill="CCEEFF" w:val="clear"/>
            <w:vAlign w:val="center"/>
          </w:tcPr>
          <w:p>
            <w:pPr>
              <w:pStyle w:val="TableContents"/>
              <w:bidi w:val="0"/>
              <w:spacing w:before="0" w:after="283"/>
              <w:jc w:val="center"/>
              <w:rPr/>
            </w:pPr>
            <w:r>
              <w:rPr/>
              <w:t> </w:t>
            </w:r>
          </w:p>
        </w:tc>
      </w:tr>
      <w:tr>
        <w:trPr/>
        <w:tc>
          <w:tcPr>
            <w:tcW w:w="3960" w:type="dxa"/>
            <w:tcBorders/>
            <w:shd w:fill="FFFFFF" w:val="clear"/>
            <w:vAlign w:val="center"/>
          </w:tcPr>
          <w:p>
            <w:pPr>
              <w:pStyle w:val="TableContents"/>
              <w:bidi w:val="0"/>
              <w:spacing w:before="0" w:after="283"/>
              <w:jc w:val="left"/>
              <w:rPr>
                <w:b/>
              </w:rPr>
            </w:pPr>
            <w:r>
              <w:rPr>
                <w:b/>
              </w:rPr>
              <w:t>Total outstanding</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66" w:name="xdx_984_eus-gaap--ClassOfWarrantOrRightO"/>
            <w:bookmarkEnd w:id="466"/>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6,929,347</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67" w:name="xdx_98A_eus-gaap--ClassOfWarrantOrRightO"/>
            <w:bookmarkEnd w:id="467"/>
          </w:p>
        </w:tc>
        <w:tc>
          <w:tcPr>
            <w:tcW w:w="1280" w:type="dxa"/>
            <w:tcBorders>
              <w:bottom w:val="double" w:sz="6" w:space="0" w:color="000000"/>
            </w:tcBorders>
            <w:shd w:fill="FFFFFF" w:val="clear"/>
            <w:tcMar>
              <w:bottom w:w="28" w:type="dxa"/>
            </w:tcMar>
            <w:vAlign w:val="center"/>
          </w:tcPr>
          <w:p>
            <w:pPr>
              <w:pStyle w:val="TableContents"/>
              <w:bidi w:val="0"/>
              <w:spacing w:before="0" w:after="283"/>
              <w:jc w:val="right"/>
              <w:rPr/>
            </w:pPr>
            <w:r>
              <w:rPr/>
              <w:t>1,676,838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bookmarkStart w:id="468" w:name="xdx_8A1_zUKRVf9phef5"/>
      <w:bookmarkEnd w:id="46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9" w:name="xdx_898_ecustom--ScheduleOfWarrantsActiv"/>
      <w:bookmarkEnd w:id="469"/>
      <w:r>
        <w:rPr>
          <w:rFonts w:ascii="Times New Roman;Times;Serif" w:hAnsi="Times New Roman;Times;Serif"/>
          <w:b w:val="false"/>
          <w:i w:val="false"/>
          <w:caps w:val="false"/>
          <w:smallCaps w:val="false"/>
          <w:sz w:val="20"/>
        </w:rPr>
        <w:t>The following table summarizes the Company’s warrants activity for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470" w:name="xdx_8B2_zPB6ew49CgP9"/>
      <w:bookmarkEnd w:id="470"/>
      <w:r>
        <w:rPr>
          <w:rFonts w:ascii="Times New Roman;Times;Serif" w:hAnsi="Times New Roman;Times;Serif"/>
          <w:b w:val="false"/>
          <w:i w:val="false"/>
          <w:caps w:val="false"/>
          <w:smallCaps w:val="false"/>
          <w:sz w:val="20"/>
        </w:rPr>
        <w:t>Schedule of Warrants Activity</w:t>
      </w:r>
    </w:p>
    <w:tbl>
      <w:tblPr>
        <w:tblW w:w="7324" w:type="dxa"/>
        <w:jc w:val="left"/>
        <w:tblInd w:w="0" w:type="dxa"/>
        <w:tblLayout w:type="fixed"/>
        <w:tblCellMar>
          <w:top w:w="0" w:type="dxa"/>
          <w:left w:w="0" w:type="dxa"/>
          <w:bottom w:w="0" w:type="dxa"/>
          <w:right w:w="0" w:type="dxa"/>
        </w:tblCellMar>
      </w:tblPr>
      <w:tblGrid>
        <w:gridCol w:w="3545"/>
        <w:gridCol w:w="60"/>
        <w:gridCol w:w="90"/>
        <w:gridCol w:w="1474"/>
        <w:gridCol w:w="95"/>
        <w:gridCol w:w="60"/>
        <w:gridCol w:w="385"/>
        <w:gridCol w:w="1540"/>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Weighted-Average</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 ADSs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rPr>
            </w:pPr>
            <w:r>
              <w:rPr>
                <w:b/>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bookmarkStart w:id="471" w:name="xdx_98B_eus-gaap--ShareBasedCompensation"/>
            <w:bookmarkEnd w:id="471"/>
          </w:p>
        </w:tc>
        <w:tc>
          <w:tcPr>
            <w:tcW w:w="1474" w:type="dxa"/>
            <w:tcBorders/>
            <w:shd w:fill="CCEEFF" w:val="clear"/>
            <w:vAlign w:val="center"/>
          </w:tcPr>
          <w:p>
            <w:pPr>
              <w:pStyle w:val="TableContents"/>
              <w:bidi w:val="0"/>
              <w:spacing w:before="0" w:after="283"/>
              <w:jc w:val="right"/>
              <w:rPr/>
            </w:pPr>
            <w:r>
              <w:rPr/>
              <w:t>1,676,838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bookmarkStart w:id="472" w:name="xdx_988_ecustom--WeightedAverageExercise"/>
            <w:bookmarkEnd w:id="472"/>
          </w:p>
        </w:tc>
        <w:tc>
          <w:tcPr>
            <w:tcW w:w="1540" w:type="dxa"/>
            <w:tcBorders/>
            <w:shd w:fill="CCEEFF" w:val="clear"/>
            <w:vAlign w:val="center"/>
          </w:tcPr>
          <w:p>
            <w:pPr>
              <w:pStyle w:val="TableContents"/>
              <w:bidi w:val="0"/>
              <w:spacing w:before="0" w:after="283"/>
              <w:jc w:val="right"/>
              <w:rPr/>
            </w:pPr>
            <w:r>
              <w:rPr/>
              <w:t>73.61</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bookmarkStart w:id="473" w:name="xdx_989_eus-gaap--ShareBasedCompensation"/>
            <w:bookmarkEnd w:id="473"/>
          </w:p>
        </w:tc>
        <w:tc>
          <w:tcPr>
            <w:tcW w:w="1474" w:type="dxa"/>
            <w:tcBorders/>
            <w:shd w:fill="FFFFFF" w:val="clear"/>
            <w:vAlign w:val="center"/>
          </w:tcPr>
          <w:p>
            <w:pPr>
              <w:pStyle w:val="TableContents"/>
              <w:bidi w:val="0"/>
              <w:spacing w:before="0" w:after="283"/>
              <w:jc w:val="right"/>
              <w:rPr/>
            </w:pPr>
            <w:r>
              <w:rPr/>
              <w:t>5,631,129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bookmarkStart w:id="474" w:name="xdx_986_ecustom--WeightedAverageExercise"/>
            <w:bookmarkEnd w:id="474"/>
          </w:p>
        </w:tc>
        <w:tc>
          <w:tcPr>
            <w:tcW w:w="1540" w:type="dxa"/>
            <w:tcBorders/>
            <w:shd w:fill="FFFFFF" w:val="clear"/>
            <w:vAlign w:val="center"/>
          </w:tcPr>
          <w:p>
            <w:pPr>
              <w:pStyle w:val="TableContents"/>
              <w:bidi w:val="0"/>
              <w:spacing w:before="0" w:after="283"/>
              <w:jc w:val="right"/>
              <w:rPr/>
            </w:pPr>
            <w:r>
              <w:rPr/>
              <w:t>2.97</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bookmarkStart w:id="475" w:name="xdx_986_eus-gaap--ShareBasedCompensation"/>
            <w:bookmarkEnd w:id="475"/>
          </w:p>
        </w:tc>
        <w:tc>
          <w:tcPr>
            <w:tcW w:w="1474" w:type="dxa"/>
            <w:tcBorders/>
            <w:shd w:fill="CCEEFF" w:val="clear"/>
            <w:vAlign w:val="center"/>
          </w:tcPr>
          <w:p>
            <w:pPr>
              <w:pStyle w:val="TableContents"/>
              <w:bidi w:val="0"/>
              <w:spacing w:before="0" w:after="283"/>
              <w:jc w:val="right"/>
              <w:rPr/>
            </w:pPr>
            <w:r>
              <w:rPr/>
              <w:t>(341,723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bookmarkStart w:id="476" w:name="xdx_98D_ecustom--WeightedAverageExercise"/>
            <w:bookmarkEnd w:id="476"/>
          </w:p>
        </w:tc>
        <w:tc>
          <w:tcPr>
            <w:tcW w:w="1540" w:type="dxa"/>
            <w:tcBorders/>
            <w:shd w:fill="CCEEFF" w:val="clear"/>
            <w:vAlign w:val="center"/>
          </w:tcPr>
          <w:p>
            <w:pPr>
              <w:pStyle w:val="TableContents"/>
              <w:bidi w:val="0"/>
              <w:spacing w:before="0" w:after="283"/>
              <w:jc w:val="right"/>
              <w:rPr/>
            </w:pPr>
            <w:r>
              <w:rPr/>
              <w:t>9.14</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7" w:name="xdx_984_eus-gaap--ShareBasedCompensation"/>
            <w:bookmarkEnd w:id="477"/>
          </w:p>
        </w:tc>
        <w:tc>
          <w:tcPr>
            <w:tcW w:w="1474" w:type="dxa"/>
            <w:tcBorders>
              <w:bottom w:val="single" w:sz="8" w:space="0" w:color="000000"/>
            </w:tcBorders>
            <w:shd w:fill="FFFFFF" w:val="clear"/>
            <w:tcMar>
              <w:bottom w:w="28" w:type="dxa"/>
            </w:tcMar>
            <w:vAlign w:val="center"/>
          </w:tcPr>
          <w:p>
            <w:pPr>
              <w:pStyle w:val="TableContents"/>
              <w:bidi w:val="0"/>
              <w:spacing w:before="0" w:after="283"/>
              <w:jc w:val="right"/>
              <w:rPr/>
            </w:pPr>
            <w:r>
              <w:rPr/>
              <w:t>(36,897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8" w:name="xdx_987_ecustom--WeightedAverageExercise"/>
            <w:bookmarkEnd w:id="478"/>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pPr>
            <w:r>
              <w:rPr/>
              <w:t>34.80</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rPr>
            </w:pPr>
            <w:r>
              <w:rPr>
                <w:b/>
              </w:rPr>
              <w:t>Outstanding at June 30, 2026</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79" w:name="xdx_987_eus-gaap--ShareBasedCompensation"/>
            <w:bookmarkEnd w:id="479"/>
          </w:p>
        </w:tc>
        <w:tc>
          <w:tcPr>
            <w:tcW w:w="1474" w:type="dxa"/>
            <w:tcBorders>
              <w:bottom w:val="double" w:sz="6" w:space="0" w:color="000000"/>
            </w:tcBorders>
            <w:shd w:fill="CCEEFF" w:val="clear"/>
            <w:tcMar>
              <w:bottom w:w="28" w:type="dxa"/>
            </w:tcMar>
            <w:vAlign w:val="center"/>
          </w:tcPr>
          <w:p>
            <w:pPr>
              <w:pStyle w:val="TableContents"/>
              <w:bidi w:val="0"/>
              <w:spacing w:before="0" w:after="283"/>
              <w:jc w:val="right"/>
              <w:rPr/>
            </w:pPr>
            <w:r>
              <w:rPr/>
              <w:t>6,929,347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0" w:name="xdx_986_ecustom--WeightedAverageExercise"/>
            <w:bookmarkEnd w:id="480"/>
          </w:p>
        </w:tc>
        <w:tc>
          <w:tcPr>
            <w:tcW w:w="1540" w:type="dxa"/>
            <w:tcBorders>
              <w:bottom w:val="double" w:sz="6" w:space="0" w:color="000000"/>
            </w:tcBorders>
            <w:shd w:fill="CCEEFF" w:val="clear"/>
            <w:tcMar>
              <w:bottom w:w="28" w:type="dxa"/>
            </w:tcMar>
            <w:vAlign w:val="center"/>
          </w:tcPr>
          <w:p>
            <w:pPr>
              <w:pStyle w:val="TableContents"/>
              <w:bidi w:val="0"/>
              <w:spacing w:before="0" w:after="283"/>
              <w:jc w:val="right"/>
              <w:rPr/>
            </w:pPr>
            <w:r>
              <w:rPr/>
              <w:t>19.58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1" w:name="xdx_8AF_z5ZkX1P86YR"/>
      <w:bookmarkEnd w:id="48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certain holders of the December 2025 Investor Prefunded Warrants, April 2025 Prefunded Warrants, December 2025 Series G Warrants, and December 2025 Note Exchange Warrants exercised warrants to purchase an aggregate of </w:t>
      </w:r>
      <w:bookmarkStart w:id="482" w:name="xdx_904_eus-gaap--ClassOfWarrantOrRightN"/>
      <w:bookmarkEnd w:id="482"/>
      <w:r>
        <w:rPr>
          <w:rFonts w:ascii="Times New Roman;Times;Serif" w:hAnsi="Times New Roman;Times;Serif"/>
          <w:b w:val="false"/>
          <w:i w:val="false"/>
          <w:caps w:val="false"/>
          <w:smallCaps w:val="false"/>
          <w:sz w:val="20"/>
        </w:rPr>
        <w:t>27,337,840,000 ordinary shares (</w:t>
      </w:r>
      <w:bookmarkStart w:id="483" w:name="xdx_903_eus-gaap--ClassOfWarrantOrRightN"/>
      <w:bookmarkEnd w:id="483"/>
      <w:r>
        <w:rPr>
          <w:rFonts w:ascii="Times New Roman;Times;Serif" w:hAnsi="Times New Roman;Times;Serif"/>
          <w:b w:val="false"/>
          <w:i w:val="false"/>
          <w:caps w:val="false"/>
          <w:smallCaps w:val="false"/>
          <w:sz w:val="20"/>
        </w:rPr>
        <w:t>341,723 ADSs) of the Company through cash exercises. The net proceeds from these exercises were $</w:t>
      </w:r>
      <w:bookmarkStart w:id="484" w:name="xdx_90E_eus-gaap--ProceedsFromWarrantExe"/>
      <w:bookmarkEnd w:id="484"/>
      <w:r>
        <w:rPr>
          <w:rFonts w:ascii="Times New Roman;Times;Serif" w:hAnsi="Times New Roman;Times;Serif"/>
          <w:b w:val="false"/>
          <w:i w:val="false"/>
          <w:caps w:val="false"/>
          <w:smallCaps w:val="false"/>
          <w:sz w:val="20"/>
        </w:rPr>
        <w:t>3.0 million. The proceeds received from the warrant exercises were recorded as an increase to additional paid-in capital within shareholders’ equity. No gain or loss was recognized upon the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5" w:name="xdx_801_eus-gaap--DisclosureOfCompensati"/>
      <w:bookmarkEnd w:id="485"/>
      <w:r>
        <w:rPr>
          <w:rFonts w:ascii="Times New Roman;Times;Serif" w:hAnsi="Times New Roman;Times;Serif"/>
          <w:b/>
          <w:i w:val="false"/>
          <w:caps w:val="false"/>
          <w:smallCaps w:val="false"/>
          <w:sz w:val="20"/>
        </w:rPr>
        <w:t xml:space="preserve">Note 7. </w:t>
      </w:r>
      <w:bookmarkStart w:id="486" w:name="xdx_820_zzGCP0BjZFCa"/>
      <w:bookmarkEnd w:id="486"/>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7" w:name="xdx_89C_eus-gaap--ScheduleOfShareBasedCo"/>
      <w:bookmarkEnd w:id="487"/>
      <w:r>
        <w:rPr>
          <w:rFonts w:ascii="Times New Roman;Times;Serif" w:hAnsi="Times New Roman;Times;Serif"/>
          <w:b w:val="false"/>
          <w:i w:val="false"/>
          <w:caps w:val="false"/>
          <w:smallCaps w:val="false"/>
          <w:sz w:val="20"/>
        </w:rPr>
        <w:t>The following is a summary of the Company’s stock option activity, with each ADS representing 80,000 Ordinary Shares, under the 2014 Equity Incentive Plan, 2023 Equity Incentive Plan and the Peak Bio 2022 Long Term Incentive Plan for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488" w:name="xdx_8BD_zJmIA8OAbGZd"/>
      <w:bookmarkEnd w:id="488"/>
      <w:r>
        <w:rPr>
          <w:rFonts w:ascii="Times New Roman;Times;Serif" w:hAnsi="Times New Roman;Times;Serif"/>
          <w:b w:val="false"/>
          <w:i w:val="false"/>
          <w:caps w:val="false"/>
          <w:smallCaps w:val="false"/>
          <w:sz w:val="20"/>
        </w:rPr>
        <w:t>Schedule of Stock Option Activity</w:t>
      </w:r>
    </w:p>
    <w:tbl>
      <w:tblPr>
        <w:tblW w:w="8578" w:type="dxa"/>
        <w:jc w:val="left"/>
        <w:tblInd w:w="0" w:type="dxa"/>
        <w:tblLayout w:type="fixed"/>
        <w:tblCellMar>
          <w:top w:w="0" w:type="dxa"/>
          <w:left w:w="0" w:type="dxa"/>
          <w:bottom w:w="0" w:type="dxa"/>
          <w:right w:w="0" w:type="dxa"/>
        </w:tblCellMar>
      </w:tblPr>
      <w:tblGrid>
        <w:gridCol w:w="3545"/>
        <w:gridCol w:w="60"/>
        <w:gridCol w:w="76"/>
        <w:gridCol w:w="1023"/>
        <w:gridCol w:w="95"/>
        <w:gridCol w:w="60"/>
        <w:gridCol w:w="151"/>
        <w:gridCol w:w="738"/>
        <w:gridCol w:w="60"/>
        <w:gridCol w:w="60"/>
        <w:gridCol w:w="254"/>
        <w:gridCol w:w="1356"/>
        <w:gridCol w:w="60"/>
        <w:gridCol w:w="60"/>
        <w:gridCol w:w="316"/>
        <w:gridCol w:w="589"/>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ADSs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Life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rPr>
            </w:pPr>
            <w:r>
              <w:rPr>
                <w:b/>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489" w:name="xdx_988_eus-gaap--ShareBasedCompensation"/>
            <w:bookmarkEnd w:id="489"/>
          </w:p>
        </w:tc>
        <w:tc>
          <w:tcPr>
            <w:tcW w:w="1023" w:type="dxa"/>
            <w:tcBorders/>
            <w:shd w:fill="CCEEFF" w:val="clear"/>
            <w:vAlign w:val="center"/>
          </w:tcPr>
          <w:p>
            <w:pPr>
              <w:pStyle w:val="TableContents"/>
              <w:bidi w:val="0"/>
              <w:spacing w:before="0" w:after="283"/>
              <w:jc w:val="right"/>
              <w:rPr/>
            </w:pPr>
            <w:r>
              <w:rPr/>
              <w:t>170,137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bookmarkStart w:id="490" w:name="xdx_989_eus-gaap--ShareBasedCompensation"/>
            <w:bookmarkEnd w:id="490"/>
          </w:p>
        </w:tc>
        <w:tc>
          <w:tcPr>
            <w:tcW w:w="738" w:type="dxa"/>
            <w:tcBorders/>
            <w:shd w:fill="CCEEFF" w:val="clear"/>
            <w:vAlign w:val="center"/>
          </w:tcPr>
          <w:p>
            <w:pPr>
              <w:pStyle w:val="TableContents"/>
              <w:bidi w:val="0"/>
              <w:spacing w:before="0" w:after="283"/>
              <w:jc w:val="right"/>
              <w:rPr/>
            </w:pPr>
            <w:r>
              <w:rPr/>
              <w:t>109.65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bookmarkStart w:id="491" w:name="xdx_902_eus-gaap--SharebasedCompensation"/>
            <w:bookmarkEnd w:id="491"/>
            <w:r>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bookmarkStart w:id="492" w:name="xdx_98F_eus-gaap--ShareBasedCompensation"/>
            <w:bookmarkEnd w:id="492"/>
          </w:p>
        </w:tc>
        <w:tc>
          <w:tcPr>
            <w:tcW w:w="58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493" w:name="xdx_98D_eus-gaap--ShareBasedCompensation"/>
            <w:bookmarkEnd w:id="493"/>
          </w:p>
        </w:tc>
        <w:tc>
          <w:tcPr>
            <w:tcW w:w="1023" w:type="dxa"/>
            <w:tcBorders/>
            <w:shd w:fill="FFFFFF" w:val="clear"/>
            <w:vAlign w:val="center"/>
          </w:tcPr>
          <w:p>
            <w:pPr>
              <w:pStyle w:val="TableContents"/>
              <w:bidi w:val="0"/>
              <w:spacing w:before="0" w:after="283"/>
              <w:jc w:val="right"/>
              <w:rPr/>
            </w:pPr>
            <w:r>
              <w:rPr/>
              <w:t>96,092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494" w:name="xdx_98C_eus-gaap--ShareBasedCompensation"/>
            <w:bookmarkEnd w:id="494"/>
          </w:p>
        </w:tc>
        <w:tc>
          <w:tcPr>
            <w:tcW w:w="738" w:type="dxa"/>
            <w:tcBorders/>
            <w:shd w:fill="FFFFFF" w:val="clear"/>
            <w:vAlign w:val="center"/>
          </w:tcPr>
          <w:p>
            <w:pPr>
              <w:pStyle w:val="TableContents"/>
              <w:bidi w:val="0"/>
              <w:spacing w:before="0" w:after="283"/>
              <w:jc w:val="right"/>
              <w:rPr/>
            </w:pPr>
            <w:r>
              <w:rPr/>
              <w:t>13.07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495" w:name="xdx_98D_eus-gaap--StockIssuedDuringPerio"/>
            <w:bookmarkEnd w:id="495"/>
          </w:p>
        </w:tc>
        <w:tc>
          <w:tcPr>
            <w:tcW w:w="10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bookmarkStart w:id="496" w:name="xdx_98F_eus-gaap--ShareBasedCompensation"/>
            <w:bookmarkEnd w:id="496"/>
          </w:p>
        </w:tc>
        <w:tc>
          <w:tcPr>
            <w:tcW w:w="7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497" w:name="xdx_98E_eus-gaap--ShareBasedCompensation"/>
            <w:bookmarkEnd w:id="497"/>
          </w:p>
        </w:tc>
        <w:tc>
          <w:tcPr>
            <w:tcW w:w="1023" w:type="dxa"/>
            <w:tcBorders/>
            <w:shd w:fill="FFFFFF" w:val="clear"/>
            <w:vAlign w:val="center"/>
          </w:tcPr>
          <w:p>
            <w:pPr>
              <w:pStyle w:val="TableContents"/>
              <w:bidi w:val="0"/>
              <w:spacing w:before="0" w:after="283"/>
              <w:jc w:val="right"/>
              <w:rPr/>
            </w:pPr>
            <w:r>
              <w:rPr/>
              <w:t>(13,867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498" w:name="xdx_982_eus-gaap--ShareBasedCompensation"/>
            <w:bookmarkEnd w:id="498"/>
          </w:p>
        </w:tc>
        <w:tc>
          <w:tcPr>
            <w:tcW w:w="738" w:type="dxa"/>
            <w:tcBorders/>
            <w:shd w:fill="FFFFFF" w:val="clear"/>
            <w:vAlign w:val="center"/>
          </w:tcPr>
          <w:p>
            <w:pPr>
              <w:pStyle w:val="TableContents"/>
              <w:bidi w:val="0"/>
              <w:spacing w:before="0" w:after="283"/>
              <w:jc w:val="right"/>
              <w:rPr/>
            </w:pPr>
            <w:r>
              <w:rPr/>
              <w:t>52.21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9" w:name="xdx_98D_eus-gaap--ShareBasedCompensation"/>
            <w:bookmarkEnd w:id="499"/>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pPr>
            <w:r>
              <w:rPr/>
              <w:t>(16,664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00" w:name="xdx_981_eus-gaap--ShareBasedCompensation"/>
            <w:bookmarkEnd w:id="500"/>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295.14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b/>
              </w:rPr>
            </w:pPr>
            <w:r>
              <w:rPr>
                <w:b/>
              </w:rPr>
              <w:t>Outstanding at June 30, 2026 (1)</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01" w:name="xdx_98E_eus-gaap--ShareBasedCompensation"/>
            <w:bookmarkEnd w:id="501"/>
          </w:p>
        </w:tc>
        <w:tc>
          <w:tcPr>
            <w:tcW w:w="1023" w:type="dxa"/>
            <w:tcBorders>
              <w:bottom w:val="double" w:sz="6" w:space="0" w:color="000000"/>
            </w:tcBorders>
            <w:shd w:fill="FFFFFF" w:val="clear"/>
            <w:tcMar>
              <w:bottom w:w="28" w:type="dxa"/>
            </w:tcMar>
            <w:vAlign w:val="center"/>
          </w:tcPr>
          <w:p>
            <w:pPr>
              <w:pStyle w:val="TableContents"/>
              <w:bidi w:val="0"/>
              <w:spacing w:before="0" w:after="283"/>
              <w:jc w:val="right"/>
              <w:rPr/>
            </w:pPr>
            <w:r>
              <w:rPr/>
              <w:t>235,698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2" w:name="xdx_980_eus-gaap--ShareBasedCompensation"/>
            <w:bookmarkEnd w:id="502"/>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60.54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03" w:name="xdx_90B_eus-gaap--SharebasedCompensation"/>
            <w:bookmarkEnd w:id="503"/>
            <w:r>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4" w:name="xdx_98D_eus-gaap--ShareBasedCompensation"/>
            <w:bookmarkEnd w:id="504"/>
          </w:p>
        </w:tc>
        <w:tc>
          <w:tcPr>
            <w:tcW w:w="589" w:type="dxa"/>
            <w:tcBorders>
              <w:bottom w:val="double" w:sz="6" w:space="0" w:color="000000"/>
            </w:tcBorders>
            <w:shd w:fill="FFFFFF" w:val="clear"/>
            <w:tcMar>
              <w:bottom w:w="28" w:type="dxa"/>
            </w:tcMar>
            <w:vAlign w:val="center"/>
          </w:tcPr>
          <w:p>
            <w:pPr>
              <w:pStyle w:val="TableContents"/>
              <w:bidi w:val="0"/>
              <w:spacing w:before="0" w:after="283"/>
              <w:jc w:val="right"/>
              <w:rPr/>
            </w:pPr>
            <w:r>
              <w:rPr/>
              <w:t>31</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rPr>
            </w:pPr>
            <w:r>
              <w:rPr>
                <w:b/>
              </w:rPr>
              <w:t>Exercisable at June 30, 2026</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05" w:name="xdx_98C_eus-gaap--ShareBasedCompensation"/>
            <w:bookmarkEnd w:id="505"/>
          </w:p>
        </w:tc>
        <w:tc>
          <w:tcPr>
            <w:tcW w:w="1023" w:type="dxa"/>
            <w:tcBorders>
              <w:bottom w:val="double" w:sz="6" w:space="0" w:color="000000"/>
            </w:tcBorders>
            <w:shd w:fill="CCEEFF" w:val="clear"/>
            <w:tcMar>
              <w:bottom w:w="28" w:type="dxa"/>
            </w:tcMar>
            <w:vAlign w:val="center"/>
          </w:tcPr>
          <w:p>
            <w:pPr>
              <w:pStyle w:val="TableContents"/>
              <w:bidi w:val="0"/>
              <w:spacing w:before="0" w:after="283"/>
              <w:jc w:val="right"/>
              <w:rPr/>
            </w:pPr>
            <w:r>
              <w:rPr/>
              <w:t>132,068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06" w:name="xdx_98F_eus-gaap--ShareBasedCompensation"/>
            <w:bookmarkEnd w:id="506"/>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77.67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07" w:name="xdx_904_eus-gaap--SharebasedCompensation"/>
            <w:bookmarkEnd w:id="507"/>
            <w:r>
              <w:rPr/>
              <w:t>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08" w:name="xdx_98D_eus-gaap--SharebasedCompensation"/>
            <w:bookmarkEnd w:id="508"/>
          </w:p>
        </w:tc>
        <w:tc>
          <w:tcPr>
            <w:tcW w:w="589" w:type="dxa"/>
            <w:tcBorders>
              <w:bottom w:val="double" w:sz="6" w:space="0" w:color="000000"/>
            </w:tcBorders>
            <w:shd w:fill="CCEEFF" w:val="clear"/>
            <w:tcMar>
              <w:bottom w:w="28" w:type="dxa"/>
            </w:tcMar>
            <w:vAlign w:val="center"/>
          </w:tcPr>
          <w:p>
            <w:pPr>
              <w:pStyle w:val="TableContents"/>
              <w:bidi w:val="0"/>
              <w:spacing w:before="0" w:after="283"/>
              <w:jc w:val="right"/>
              <w:rPr/>
            </w:pPr>
            <w:r>
              <w:rPr/>
              <w:t>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09" w:name="xdx_F0B_zPzP3370xVM4"/>
            <w:bookmarkEnd w:id="509"/>
            <w:r>
              <w:rPr>
                <w:rFonts w:ascii="Times New Roman;Times;Serif" w:hAnsi="Times New Roman;Times;Serif"/>
                <w:b w:val="false"/>
                <w:i w:val="false"/>
                <w:caps w:val="false"/>
                <w:smallCaps w:val="false"/>
                <w:sz w:val="20"/>
              </w:rPr>
              <w:t>(1)</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10" w:name="xdx_F1E_zSCY71UQDyhf"/>
            <w:bookmarkEnd w:id="510"/>
            <w:r>
              <w:rPr>
                <w:rFonts w:ascii="Times New Roman;Times;Serif" w:hAnsi="Times New Roman;Times;Serif"/>
                <w:b w:val="false"/>
                <w:i w:val="false"/>
                <w:caps w:val="false"/>
                <w:smallCaps w:val="false"/>
                <w:sz w:val="20"/>
              </w:rPr>
              <w:t>Includes both vested stock options as well as unvested stock options for which the requisite service period has not been rendered but that are expected to vest based on achievement of a service condition.</w:t>
            </w:r>
          </w:p>
        </w:tc>
      </w:tr>
    </w:tbl>
    <w:p>
      <w:pPr>
        <w:pStyle w:val="TextBody"/>
        <w:bidi w:val="0"/>
        <w:spacing w:before="0" w:after="0"/>
        <w:ind w:left="979" w:right="0" w:hanging="360"/>
        <w:jc w:val="both"/>
        <w:rPr>
          <w:caps w:val="false"/>
          <w:smallCaps w:val="false"/>
        </w:rPr>
      </w:pPr>
      <w:bookmarkStart w:id="511" w:name="xdx_8AC_zS6IiBd4MVS8"/>
      <w:bookmarkEnd w:id="51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of options is calculated as the difference between the exercise price of the options and the fair value of the Company’s ADSs for those options that had exercise prices lower than the fair value of the Company’s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grant-date fair value per ADS of options granted during each of the six months ended June 30, 2026 and 2025 was $</w:t>
      </w:r>
      <w:bookmarkStart w:id="512" w:name="xdx_906_eus-gaap--SharebasedCompensation"/>
      <w:bookmarkEnd w:id="512"/>
      <w:r>
        <w:rPr>
          <w:rFonts w:ascii="Times New Roman;Times;Serif" w:hAnsi="Times New Roman;Times;Serif"/>
          <w:b w:val="false"/>
          <w:i w:val="false"/>
          <w:caps w:val="false"/>
          <w:smallCaps w:val="false"/>
          <w:sz w:val="20"/>
        </w:rPr>
        <w:t>10.33 and $</w:t>
      </w:r>
      <w:bookmarkStart w:id="513" w:name="xdx_907_eus-gaap--SharebasedCompensation"/>
      <w:bookmarkEnd w:id="513"/>
      <w:r>
        <w:rPr>
          <w:rFonts w:ascii="Times New Roman;Times;Serif" w:hAnsi="Times New Roman;Times;Serif"/>
          <w:b w:val="false"/>
          <w:i w:val="false"/>
          <w:caps w:val="false"/>
          <w:smallCaps w:val="false"/>
          <w:sz w:val="20"/>
        </w:rPr>
        <w:t>59.60,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4" w:name="xdx_89A_eus-gaap--ScheduleOfShareBasedPa"/>
      <w:bookmarkEnd w:id="514"/>
      <w:r>
        <w:rPr>
          <w:rFonts w:ascii="Times New Roman;Times;Serif" w:hAnsi="Times New Roman;Times;Serif"/>
          <w:b w:val="false"/>
          <w:i w:val="false"/>
          <w:caps w:val="false"/>
          <w:smallCaps w:val="false"/>
          <w:sz w:val="20"/>
        </w:rPr>
        <w:t>The weighted-average assumptions that the Company used to determine the fair value of share options granted were as follows, presented on a weighted average basis:</w:t>
      </w:r>
    </w:p>
    <w:p>
      <w:pPr>
        <w:pStyle w:val="TextBody"/>
        <w:bidi w:val="0"/>
        <w:spacing w:before="0" w:after="0"/>
        <w:ind w:left="0" w:right="0" w:hanging="0"/>
        <w:jc w:val="both"/>
        <w:rPr>
          <w:caps w:val="false"/>
          <w:smallCaps w:val="false"/>
        </w:rPr>
      </w:pPr>
      <w:r>
        <w:rPr>
          <w:caps w:val="false"/>
          <w:smallCaps w:val="false"/>
        </w:rPr>
        <w:t> </w:t>
      </w:r>
      <w:bookmarkStart w:id="515" w:name="xdx_8BD_zMgOTRmadRk2"/>
      <w:bookmarkEnd w:id="515"/>
      <w:r>
        <w:rPr>
          <w:rFonts w:ascii="Times New Roman;Times;Serif" w:hAnsi="Times New Roman;Times;Serif"/>
          <w:b w:val="false"/>
          <w:i w:val="false"/>
          <w:caps w:val="false"/>
          <w:smallCaps w:val="false"/>
          <w:sz w:val="20"/>
        </w:rPr>
        <w:t>Schedule of Weighted-average Assumptions and Fair Value of Share Options Granted</w:t>
      </w:r>
    </w:p>
    <w:tbl>
      <w:tblPr>
        <w:tblW w:w="5458" w:type="dxa"/>
        <w:jc w:val="left"/>
        <w:tblInd w:w="0" w:type="dxa"/>
        <w:tblLayout w:type="fixed"/>
        <w:tblCellMar>
          <w:top w:w="0" w:type="dxa"/>
          <w:left w:w="0" w:type="dxa"/>
          <w:bottom w:w="0" w:type="dxa"/>
          <w:right w:w="0" w:type="dxa"/>
        </w:tblCellMar>
      </w:tblPr>
      <w:tblGrid>
        <w:gridCol w:w="2345"/>
        <w:gridCol w:w="60"/>
        <w:gridCol w:w="121"/>
        <w:gridCol w:w="1134"/>
        <w:gridCol w:w="435"/>
        <w:gridCol w:w="121"/>
        <w:gridCol w:w="121"/>
        <w:gridCol w:w="891"/>
        <w:gridCol w:w="230"/>
      </w:tblGrid>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16" w:name="xdx_49A_20260101__20260630_z0nOADEmMKLh"/>
            <w:bookmarkEnd w:id="516"/>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3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bookmarkStart w:id="517" w:name="xdx_492_20250101__20250630_z9DlXi2sNN67"/>
            <w:bookmarkEnd w:id="517"/>
          </w:p>
        </w:tc>
        <w:tc>
          <w:tcPr>
            <w:tcW w:w="10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3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bookmarkStart w:id="518" w:name="xdx_403_eus-gaap--ShareBasedCompensation"/>
            <w:bookmarkEnd w:id="518"/>
          </w:p>
        </w:tc>
      </w:tr>
      <w:tr>
        <w:trPr/>
        <w:tc>
          <w:tcPr>
            <w:tcW w:w="234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111.1</w:t>
            </w:r>
          </w:p>
        </w:tc>
        <w:tc>
          <w:tcPr>
            <w:tcW w:w="435"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95.3</w:t>
            </w:r>
          </w:p>
        </w:tc>
        <w:tc>
          <w:tcPr>
            <w:tcW w:w="230" w:type="dxa"/>
            <w:tcBorders/>
            <w:shd w:fill="CCEEFF" w:val="clear"/>
            <w:vAlign w:val="center"/>
          </w:tcPr>
          <w:p>
            <w:pPr>
              <w:pStyle w:val="TableContents"/>
              <w:bidi w:val="0"/>
              <w:spacing w:before="0" w:after="283"/>
              <w:jc w:val="left"/>
              <w:rPr/>
            </w:pPr>
            <w:r>
              <w:rPr/>
              <w:t>%</w:t>
            </w:r>
            <w:bookmarkStart w:id="519" w:name="xdx_401_eus-gaap--ShareBasedCompensation"/>
            <w:bookmarkEnd w:id="519"/>
          </w:p>
        </w:tc>
      </w:tr>
      <w:tr>
        <w:trPr/>
        <w:tc>
          <w:tcPr>
            <w:tcW w:w="234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4.2</w:t>
            </w:r>
          </w:p>
        </w:tc>
        <w:tc>
          <w:tcPr>
            <w:tcW w:w="435" w:type="dxa"/>
            <w:tcBorders/>
            <w:shd w:fill="FFFFFF" w:val="clear"/>
            <w:vAlign w:val="center"/>
          </w:tcPr>
          <w:p>
            <w:pPr>
              <w:pStyle w:val="TableContents"/>
              <w:bidi w:val="0"/>
              <w:spacing w:before="0" w:after="283"/>
              <w:jc w:val="left"/>
              <w:rPr/>
            </w:pPr>
            <w:r>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4.0</w:t>
            </w:r>
          </w:p>
        </w:tc>
        <w:tc>
          <w:tcPr>
            <w:tcW w:w="230" w:type="dxa"/>
            <w:tcBorders/>
            <w:shd w:fill="FFFFFF" w:val="clear"/>
            <w:vAlign w:val="center"/>
          </w:tcPr>
          <w:p>
            <w:pPr>
              <w:pStyle w:val="TableContents"/>
              <w:bidi w:val="0"/>
              <w:spacing w:before="0" w:after="283"/>
              <w:jc w:val="left"/>
              <w:rPr/>
            </w:pPr>
            <w:r>
              <w:rPr/>
              <w:t>%</w:t>
            </w:r>
            <w:bookmarkStart w:id="520" w:name="xdx_401_eus-gaap--ShareBasedCompensation"/>
            <w:bookmarkEnd w:id="520"/>
          </w:p>
        </w:tc>
      </w:tr>
      <w:tr>
        <w:trPr/>
        <w:tc>
          <w:tcPr>
            <w:tcW w:w="2345"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43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Expected term (in years)</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bookmarkStart w:id="521" w:name="xdx_90B_eus-gaap--SharebasedCompensation"/>
            <w:bookmarkEnd w:id="521"/>
            <w:r>
              <w:rPr/>
              <w:t>5.4</w:t>
            </w:r>
          </w:p>
        </w:tc>
        <w:tc>
          <w:tcPr>
            <w:tcW w:w="435"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bookmarkStart w:id="522" w:name="xdx_904_eus-gaap--SharebasedCompensation"/>
            <w:bookmarkEnd w:id="522"/>
            <w:r>
              <w:rPr/>
              <w:t>5.8</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3" w:name="xdx_8A1_zvyuDw9UeFC5"/>
      <w:bookmarkEnd w:id="52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provides for the award of RSUs. RSUs are granted to employees and consultants and are subject to time-based vesting conditions, assuming continued service. Compensation cost for time-based RSUs, which generally vest only on continued service, is recognized on a straight-line basis over the requisite service period based on the grant date fair value of the RSUs, which is derived from the Nasdaq closing price of the Company’s ADSs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4" w:name="xdx_894_eus-gaap--ScheduleOfUnvestedRest"/>
      <w:bookmarkEnd w:id="524"/>
      <w:r>
        <w:rPr>
          <w:rFonts w:ascii="Times New Roman;Times;Serif" w:hAnsi="Times New Roman;Times;Serif"/>
          <w:b w:val="false"/>
          <w:i w:val="false"/>
          <w:caps w:val="false"/>
          <w:smallCaps w:val="false"/>
          <w:sz w:val="20"/>
        </w:rPr>
        <w:t>The following table summarizes the Company’s restricted stock activity for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525" w:name="xdx_8B1_zCdWgOxw1lol"/>
      <w:bookmarkEnd w:id="525"/>
      <w:r>
        <w:rPr>
          <w:rFonts w:ascii="Times New Roman;Times;Serif" w:hAnsi="Times New Roman;Times;Serif"/>
          <w:b w:val="false"/>
          <w:i w:val="false"/>
          <w:caps w:val="false"/>
          <w:smallCaps w:val="false"/>
          <w:sz w:val="20"/>
        </w:rPr>
        <w:t>Schedule of RSU activity</w:t>
      </w:r>
    </w:p>
    <w:tbl>
      <w:tblPr>
        <w:tblW w:w="7766" w:type="dxa"/>
        <w:jc w:val="left"/>
        <w:tblInd w:w="0" w:type="dxa"/>
        <w:tblLayout w:type="fixed"/>
        <w:tblCellMar>
          <w:top w:w="0" w:type="dxa"/>
          <w:left w:w="0" w:type="dxa"/>
          <w:bottom w:w="0" w:type="dxa"/>
          <w:right w:w="0" w:type="dxa"/>
        </w:tblCellMar>
      </w:tblPr>
      <w:tblGrid>
        <w:gridCol w:w="4055"/>
        <w:gridCol w:w="60"/>
        <w:gridCol w:w="129"/>
        <w:gridCol w:w="1645"/>
        <w:gridCol w:w="118"/>
        <w:gridCol w:w="74"/>
        <w:gridCol w:w="322"/>
        <w:gridCol w:w="1288"/>
        <w:gridCol w:w="75"/>
      </w:tblGrid>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7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Time-based Awards</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ADSs</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b/>
              </w:rPr>
            </w:pPr>
            <w:r>
              <w:rPr>
                <w:b/>
              </w:rPr>
              <w:t>Nonvested shares at December 31, 2025</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bookmarkStart w:id="526" w:name="xdx_98F_eus-gaap--ShareBasedCompensation"/>
            <w:bookmarkEnd w:id="526"/>
          </w:p>
        </w:tc>
        <w:tc>
          <w:tcPr>
            <w:tcW w:w="1645" w:type="dxa"/>
            <w:tcBorders/>
            <w:shd w:fill="CCEEFF" w:val="clear"/>
            <w:vAlign w:val="center"/>
          </w:tcPr>
          <w:p>
            <w:pPr>
              <w:pStyle w:val="TableContents"/>
              <w:bidi w:val="0"/>
              <w:spacing w:before="0" w:after="283"/>
              <w:jc w:val="right"/>
              <w:rPr/>
            </w:pPr>
            <w:r>
              <w:rPr/>
              <w:t>1,465</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527" w:name="xdx_980_eus-gaap--ShareBasedCompensation"/>
            <w:bookmarkEnd w:id="527"/>
          </w:p>
        </w:tc>
        <w:tc>
          <w:tcPr>
            <w:tcW w:w="1288" w:type="dxa"/>
            <w:tcBorders/>
            <w:shd w:fill="CCEEFF" w:val="clear"/>
            <w:vAlign w:val="center"/>
          </w:tcPr>
          <w:p>
            <w:pPr>
              <w:pStyle w:val="TableContents"/>
              <w:bidi w:val="0"/>
              <w:spacing w:before="0" w:after="283"/>
              <w:jc w:val="right"/>
              <w:rPr/>
            </w:pPr>
            <w:r>
              <w:rPr/>
              <w:t>30.00</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bookmarkStart w:id="528" w:name="xdx_98F_eus-gaap--ShareBasedCompensation"/>
            <w:bookmarkEnd w:id="528"/>
          </w:p>
        </w:tc>
        <w:tc>
          <w:tcPr>
            <w:tcW w:w="1645" w:type="dxa"/>
            <w:tcBorders/>
            <w:shd w:fill="FFFFFF" w:val="clear"/>
            <w:vAlign w:val="center"/>
          </w:tcPr>
          <w:p>
            <w:pPr>
              <w:pStyle w:val="TableContents"/>
              <w:bidi w:val="0"/>
              <w:spacing w:before="0" w:after="283"/>
              <w:jc w:val="right"/>
              <w:rPr/>
            </w:pPr>
            <w:r>
              <w:rPr/>
              <w:t>18,830</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bookmarkStart w:id="529" w:name="xdx_98B_eus-gaap--ShareBasedCompensation"/>
            <w:bookmarkEnd w:id="529"/>
          </w:p>
        </w:tc>
        <w:tc>
          <w:tcPr>
            <w:tcW w:w="1288" w:type="dxa"/>
            <w:tcBorders/>
            <w:shd w:fill="FFFFFF" w:val="clear"/>
            <w:vAlign w:val="center"/>
          </w:tcPr>
          <w:p>
            <w:pPr>
              <w:pStyle w:val="TableContents"/>
              <w:bidi w:val="0"/>
              <w:spacing w:before="0" w:after="283"/>
              <w:jc w:val="right"/>
              <w:rPr/>
            </w:pPr>
            <w:r>
              <w:rPr/>
              <w:t>10.76</w:t>
            </w:r>
          </w:p>
        </w:tc>
        <w:tc>
          <w:tcPr>
            <w:tcW w:w="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bookmarkStart w:id="530" w:name="xdx_983_eus-gaap--ShareBasedCompensation"/>
            <w:bookmarkEnd w:id="530"/>
          </w:p>
        </w:tc>
        <w:tc>
          <w:tcPr>
            <w:tcW w:w="1645"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bookmarkStart w:id="531" w:name="xdx_98D_eus-gaap--ShareBasedCompensation"/>
            <w:bookmarkEnd w:id="531"/>
          </w:p>
        </w:tc>
        <w:tc>
          <w:tcPr>
            <w:tcW w:w="12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2" w:name="xdx_981_eus-gaap--ShareBasedCompensation"/>
            <w:bookmarkEnd w:id="532"/>
          </w:p>
        </w:tc>
        <w:tc>
          <w:tcPr>
            <w:tcW w:w="1645" w:type="dxa"/>
            <w:tcBorders>
              <w:bottom w:val="single" w:sz="8" w:space="0" w:color="000000"/>
            </w:tcBorders>
            <w:shd w:fill="FFFFFF" w:val="clear"/>
            <w:tcMar>
              <w:bottom w:w="28" w:type="dxa"/>
            </w:tcMar>
            <w:vAlign w:val="center"/>
          </w:tcPr>
          <w:p>
            <w:pPr>
              <w:pStyle w:val="TableContents"/>
              <w:bidi w:val="0"/>
              <w:spacing w:before="0" w:after="283"/>
              <w:jc w:val="right"/>
              <w:rPr/>
            </w:pPr>
            <w:r>
              <w:rPr/>
              <w:t>(20,295</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3" w:name="xdx_98D_eus-gaap--ShareBasedCompensation"/>
            <w:bookmarkEnd w:id="533"/>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12.14</w:t>
            </w:r>
          </w:p>
        </w:tc>
        <w:tc>
          <w:tcPr>
            <w:tcW w:w="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b/>
              </w:rPr>
            </w:pPr>
            <w:r>
              <w:rPr>
                <w:b/>
              </w:rPr>
              <w:t>Nonvested shares at June 30, 2026</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34" w:name="xdx_98C_eus-gaap--ShareBasedCompensation"/>
            <w:bookmarkEnd w:id="534"/>
          </w:p>
        </w:tc>
        <w:tc>
          <w:tcPr>
            <w:tcW w:w="164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35" w:name="xdx_982_eus-gaap--ShareBasedCompensation"/>
            <w:bookmarkEnd w:id="535"/>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6" w:name="xdx_8A9_zF6oViFR9Mxi"/>
      <w:bookmarkEnd w:id="53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t>
      </w:r>
      <w:bookmarkStart w:id="537" w:name="xdx_90C_ecustom--ShareBasedCompensationA"/>
      <w:bookmarkEnd w:id="537"/>
      <w:r>
        <w:rPr>
          <w:rFonts w:ascii="Times New Roman;Times;Serif" w:hAnsi="Times New Roman;Times;Serif"/>
          <w:b w:val="false"/>
          <w:i w:val="false"/>
          <w:caps w:val="false"/>
          <w:smallCaps w:val="false"/>
          <w:sz w:val="20"/>
        </w:rPr>
        <w:t>20,451 ADSs (</w:t>
      </w:r>
      <w:bookmarkStart w:id="538" w:name="xdx_905_ecustom--ShareBasedCompensationA"/>
      <w:bookmarkEnd w:id="538"/>
      <w:r>
        <w:rPr>
          <w:rFonts w:ascii="Times New Roman;Times;Serif" w:hAnsi="Times New Roman;Times;Serif"/>
          <w:b w:val="false"/>
          <w:i w:val="false"/>
          <w:caps w:val="false"/>
          <w:smallCaps w:val="false"/>
          <w:sz w:val="20"/>
        </w:rPr>
        <w:t xml:space="preserve">1,636,080,000 ordinary shares) underlying vested time-based RSUs were pending issuance. This was comprised of </w:t>
      </w:r>
      <w:bookmarkStart w:id="539" w:name="xdx_90E_eus-gaap--ShareBasedCompensation"/>
      <w:bookmarkEnd w:id="539"/>
      <w:r>
        <w:rPr>
          <w:rFonts w:ascii="Times New Roman;Times;Serif" w:hAnsi="Times New Roman;Times;Serif"/>
          <w:b w:val="false"/>
          <w:i w:val="false"/>
          <w:caps w:val="false"/>
          <w:smallCaps w:val="false"/>
          <w:sz w:val="20"/>
        </w:rPr>
        <w:t>20,295 ADSs (</w:t>
      </w:r>
      <w:bookmarkStart w:id="540" w:name="xdx_909_eus-gaap--ShareBasedCompensation"/>
      <w:bookmarkEnd w:id="540"/>
      <w:r>
        <w:rPr>
          <w:rFonts w:ascii="Times New Roman;Times;Serif" w:hAnsi="Times New Roman;Times;Serif"/>
          <w:b w:val="false"/>
          <w:i w:val="false"/>
          <w:caps w:val="false"/>
          <w:smallCaps w:val="false"/>
          <w:sz w:val="20"/>
        </w:rPr>
        <w:t xml:space="preserve">1,623,600,000 ordinary shares) which vested in the six months ended June 30, 2026 and </w:t>
      </w:r>
      <w:bookmarkStart w:id="541" w:name="xdx_90C_eus-gaap--ShareBasedCompensation"/>
      <w:bookmarkEnd w:id="541"/>
      <w:r>
        <w:rPr>
          <w:rFonts w:ascii="Times New Roman;Times;Serif" w:hAnsi="Times New Roman;Times;Serif"/>
          <w:b w:val="false"/>
          <w:i w:val="false"/>
          <w:caps w:val="false"/>
          <w:smallCaps w:val="false"/>
          <w:sz w:val="20"/>
        </w:rPr>
        <w:t>156 ADSs (</w:t>
      </w:r>
      <w:bookmarkStart w:id="542" w:name="xdx_905_eus-gaap--ShareBasedCompensation"/>
      <w:bookmarkEnd w:id="542"/>
      <w:r>
        <w:rPr>
          <w:rFonts w:ascii="Times New Roman;Times;Serif" w:hAnsi="Times New Roman;Times;Serif"/>
          <w:b w:val="false"/>
          <w:i w:val="false"/>
          <w:caps w:val="false"/>
          <w:smallCaps w:val="false"/>
          <w:sz w:val="20"/>
        </w:rPr>
        <w:t>12,480,000 ordinary shares) which vested as of December 31, 2025. These ADSs were issued on July 7, 2026. The fair value of time-based RSUs that vested during the six months ended June 30, 2026 and 2025, was $</w:t>
      </w:r>
      <w:bookmarkStart w:id="543" w:name="xdx_904_eus-gaap--ShareBasedCompensation"/>
      <w:bookmarkEnd w:id="543"/>
      <w:r>
        <w:rPr>
          <w:rFonts w:ascii="Times New Roman;Times;Serif" w:hAnsi="Times New Roman;Times;Serif"/>
          <w:b w:val="false"/>
          <w:i w:val="false"/>
          <w:caps w:val="false"/>
          <w:smallCaps w:val="false"/>
          <w:sz w:val="20"/>
        </w:rPr>
        <w:t>0.2 million and less than $</w:t>
      </w:r>
      <w:bookmarkStart w:id="544" w:name="xdx_900_eus-gaap--ShareBasedCompensation"/>
      <w:bookmarkEnd w:id="544"/>
      <w:r>
        <w:rPr>
          <w:rFonts w:ascii="Times New Roman;Times;Serif" w:hAnsi="Times New Roman;Times;Serif"/>
          <w:b w:val="false"/>
          <w:i w:val="false"/>
          <w:caps w:val="false"/>
          <w:smallCaps w:val="false"/>
          <w:sz w:val="20"/>
        </w:rPr>
        <w:t>0.1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Performance-Based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2026, the Company granted performance stock options (“PSOs”) to purchase </w:t>
      </w:r>
      <w:bookmarkStart w:id="545" w:name="xdx_903_eus-gaap--ShareBasedCompensation"/>
      <w:bookmarkEnd w:id="545"/>
      <w:r>
        <w:rPr>
          <w:rFonts w:ascii="Times New Roman;Times;Serif" w:hAnsi="Times New Roman;Times;Serif"/>
          <w:b w:val="false"/>
          <w:i w:val="false"/>
          <w:caps w:val="false"/>
          <w:smallCaps w:val="false"/>
          <w:sz w:val="20"/>
        </w:rPr>
        <w:t>15,000 ADSs (</w:t>
      </w:r>
      <w:bookmarkStart w:id="546" w:name="xdx_906_eus-gaap--ShareBasedCompensation"/>
      <w:bookmarkEnd w:id="546"/>
      <w:r>
        <w:rPr>
          <w:rFonts w:ascii="Times New Roman;Times;Serif" w:hAnsi="Times New Roman;Times;Serif"/>
          <w:b w:val="false"/>
          <w:i w:val="false"/>
          <w:caps w:val="false"/>
          <w:smallCaps w:val="false"/>
          <w:sz w:val="20"/>
        </w:rPr>
        <w:t>1,200,000,000 ordinary shares) to certain executives. Vesting of PSOs was recognized on a pro-rata basis based on financing achieved relative to $</w:t>
      </w:r>
      <w:bookmarkStart w:id="547" w:name="xdx_902_ecustom--GrossProceedsFromFinanc"/>
      <w:bookmarkEnd w:id="547"/>
      <w:r>
        <w:rPr>
          <w:rFonts w:ascii="Times New Roman;Times;Serif" w:hAnsi="Times New Roman;Times;Serif"/>
          <w:b w:val="false"/>
          <w:i w:val="false"/>
          <w:caps w:val="false"/>
          <w:smallCaps w:val="false"/>
          <w:sz w:val="20"/>
        </w:rPr>
        <w:t xml:space="preserve">15 million of gross proceeds in qualified financing on or before June 30, 2026. During the three months ending June 30, 2026, </w:t>
      </w:r>
      <w:bookmarkStart w:id="548" w:name="xdx_90F_eus-gaap--SharebasedCompensation"/>
      <w:bookmarkEnd w:id="548"/>
      <w:r>
        <w:rPr>
          <w:rFonts w:ascii="Times New Roman;Times;Serif" w:hAnsi="Times New Roman;Times;Serif"/>
          <w:b w:val="false"/>
          <w:i w:val="false"/>
          <w:caps w:val="false"/>
          <w:smallCaps w:val="false"/>
          <w:sz w:val="20"/>
        </w:rPr>
        <w:t>5,500 options were vested and the remainder expired unvested. The Company recognized share-based compensation expense of less than $</w:t>
      </w:r>
      <w:bookmarkStart w:id="549" w:name="xdx_90D_eus-gaap--DeferredCompensationAr"/>
      <w:bookmarkEnd w:id="549"/>
      <w:r>
        <w:rPr>
          <w:rFonts w:ascii="Times New Roman;Times;Serif" w:hAnsi="Times New Roman;Times;Serif"/>
          <w:b w:val="false"/>
          <w:i w:val="false"/>
          <w:caps w:val="false"/>
          <w:smallCaps w:val="false"/>
          <w:sz w:val="20"/>
        </w:rPr>
        <w:t>0.1 million related to these awards during the three and six months ended June 30, 2026. No performance stock options remained outstanding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the condensed consolidated statements of operations and comprehensive loss in the same manner in which the award recipients’ payroll costs are classified or in which the award recipients’ service payments are classified. Total stock-based compensation expense attributable to share-based payments made to employees, consultants and directors included in operating expenses in the Company’s condensed consolidated statements of operations and comprehensive loss for the three and six months ended June 30, 2026 and 2025, was as follows:</w:t>
      </w:r>
    </w:p>
    <w:p>
      <w:pPr>
        <w:pStyle w:val="TextBody"/>
        <w:bidi w:val="0"/>
        <w:spacing w:before="0" w:after="0"/>
        <w:ind w:left="0" w:right="0" w:hanging="0"/>
        <w:jc w:val="both"/>
        <w:rPr>
          <w:caps w:val="false"/>
          <w:smallCaps w:val="false"/>
        </w:rPr>
      </w:pPr>
      <w:bookmarkStart w:id="550" w:name="xdx_896_eus-gaap--ScheduleOfEmployeeServ"/>
      <w:bookmarkEnd w:id="550"/>
      <w:r>
        <w:rPr>
          <w:caps w:val="false"/>
          <w:smallCaps w:val="false"/>
        </w:rPr>
        <w:t> </w:t>
      </w:r>
      <w:bookmarkStart w:id="551" w:name="xdx_8BC_zjdSZ80MRxXb"/>
      <w:bookmarkEnd w:id="551"/>
      <w:r>
        <w:rPr>
          <w:rFonts w:ascii="Times New Roman;Times;Serif" w:hAnsi="Times New Roman;Times;Serif"/>
          <w:b w:val="false"/>
          <w:i w:val="false"/>
          <w:caps w:val="false"/>
          <w:smallCaps w:val="false"/>
          <w:sz w:val="20"/>
        </w:rPr>
        <w:t>Schedule of Stock-based Compensation Expense in Statements of Operations</w:t>
      </w:r>
    </w:p>
    <w:tbl>
      <w:tblPr>
        <w:tblW w:w="10089" w:type="dxa"/>
        <w:jc w:val="left"/>
        <w:tblInd w:w="0" w:type="dxa"/>
        <w:tblLayout w:type="fixed"/>
        <w:tblCellMar>
          <w:top w:w="0" w:type="dxa"/>
          <w:left w:w="0" w:type="dxa"/>
          <w:bottom w:w="28" w:type="dxa"/>
          <w:right w:w="0" w:type="dxa"/>
        </w:tblCellMar>
      </w:tblPr>
      <w:tblGrid>
        <w:gridCol w:w="3890"/>
        <w:gridCol w:w="60"/>
        <w:gridCol w:w="377"/>
        <w:gridCol w:w="1023"/>
        <w:gridCol w:w="161"/>
        <w:gridCol w:w="161"/>
        <w:gridCol w:w="377"/>
        <w:gridCol w:w="1023"/>
        <w:gridCol w:w="60"/>
        <w:gridCol w:w="60"/>
        <w:gridCol w:w="260"/>
        <w:gridCol w:w="1040"/>
        <w:gridCol w:w="111"/>
        <w:gridCol w:w="111"/>
        <w:gridCol w:w="260"/>
        <w:gridCol w:w="1040"/>
        <w:gridCol w:w="75"/>
      </w:tblGrid>
      <w:tr>
        <w:trPr/>
        <w:tc>
          <w:tcPr>
            <w:tcW w:w="3890" w:type="dxa"/>
            <w:tcBorders>
              <w:bottom w:val="single" w:sz="8" w:space="0" w:color="000000"/>
            </w:tcBorders>
            <w:vAlign w:val="center"/>
          </w:tcPr>
          <w:p>
            <w:pPr>
              <w:pStyle w:val="TableContents"/>
              <w:bidi w:val="0"/>
              <w:spacing w:before="0" w:after="283"/>
              <w:jc w:val="left"/>
              <w:rPr>
                <w:b/>
              </w:rPr>
            </w:pPr>
            <w:r>
              <w:rPr>
                <w:b/>
              </w:rPr>
              <w:t>($ in thousands)</w:t>
            </w:r>
          </w:p>
        </w:tc>
        <w:tc>
          <w:tcPr>
            <w:tcW w:w="60" w:type="dxa"/>
            <w:tcBorders/>
            <w:tcMar>
              <w:bottom w:w="0" w:type="dxa"/>
            </w:tcMar>
            <w:vAlign w:val="center"/>
          </w:tcPr>
          <w:p>
            <w:pPr>
              <w:pStyle w:val="TableContents"/>
              <w:bidi w:val="0"/>
              <w:spacing w:before="0" w:after="283"/>
              <w:jc w:val="left"/>
              <w:rPr/>
            </w:pPr>
            <w:r>
              <w:rPr/>
              <w:t> </w:t>
            </w:r>
            <w:bookmarkStart w:id="552" w:name="xdx_490_20260401__20260630_zxFSjcKafuM9"/>
            <w:bookmarkEnd w:id="552"/>
          </w:p>
        </w:tc>
        <w:tc>
          <w:tcPr>
            <w:tcW w:w="1400" w:type="dxa"/>
            <w:gridSpan w:val="2"/>
            <w:tcBorders>
              <w:bottom w:val="single" w:sz="8" w:space="0" w:color="000000"/>
            </w:tcBorders>
            <w:vAlign w:val="center"/>
          </w:tcPr>
          <w:p>
            <w:pPr>
              <w:pStyle w:val="TableContents"/>
              <w:bidi w:val="0"/>
              <w:spacing w:before="0" w:after="283"/>
              <w:jc w:val="center"/>
              <w:rPr>
                <w:b/>
              </w:rPr>
            </w:pPr>
            <w:r>
              <w:rPr>
                <w:b/>
              </w:rPr>
              <w:t>2026</w:t>
            </w:r>
          </w:p>
        </w:tc>
        <w:tc>
          <w:tcPr>
            <w:tcW w:w="161"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bookmarkStart w:id="553" w:name="xdx_496_20250401__20250630_zhwtmpWKcZJ4"/>
            <w:bookmarkEnd w:id="553"/>
          </w:p>
        </w:tc>
        <w:tc>
          <w:tcPr>
            <w:tcW w:w="140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54" w:name="xdx_492_20260101__20260630_zAJkyYuev8Fi"/>
            <w:bookmarkEnd w:id="554"/>
          </w:p>
        </w:tc>
        <w:tc>
          <w:tcPr>
            <w:tcW w:w="1300" w:type="dxa"/>
            <w:gridSpan w:val="2"/>
            <w:tcBorders>
              <w:bottom w:val="single" w:sz="8" w:space="0" w:color="000000"/>
            </w:tcBorders>
            <w:vAlign w:val="center"/>
          </w:tcPr>
          <w:p>
            <w:pPr>
              <w:pStyle w:val="TableContents"/>
              <w:bidi w:val="0"/>
              <w:spacing w:before="0" w:after="283"/>
              <w:jc w:val="center"/>
              <w:rPr>
                <w:b/>
              </w:rPr>
            </w:pPr>
            <w:r>
              <w:rPr>
                <w:b/>
              </w:rPr>
              <w:t>2026</w:t>
            </w:r>
          </w:p>
        </w:tc>
        <w:tc>
          <w:tcPr>
            <w:tcW w:w="111" w:type="dxa"/>
            <w:tcBorders/>
            <w:tcMar>
              <w:bottom w:w="0" w:type="dxa"/>
            </w:tcMar>
            <w:vAlign w:val="center"/>
          </w:tcPr>
          <w:p>
            <w:pPr>
              <w:pStyle w:val="TableContents"/>
              <w:bidi w:val="0"/>
              <w:spacing w:before="0" w:after="283"/>
              <w:jc w:val="left"/>
              <w:rPr/>
            </w:pPr>
            <w:r>
              <w:rPr/>
              <w:t> </w:t>
            </w:r>
          </w:p>
        </w:tc>
        <w:tc>
          <w:tcPr>
            <w:tcW w:w="111" w:type="dxa"/>
            <w:tcBorders/>
            <w:tcMar>
              <w:bottom w:w="0" w:type="dxa"/>
            </w:tcMar>
            <w:vAlign w:val="center"/>
          </w:tcPr>
          <w:p>
            <w:pPr>
              <w:pStyle w:val="TableContents"/>
              <w:bidi w:val="0"/>
              <w:spacing w:before="0" w:after="283"/>
              <w:jc w:val="left"/>
              <w:rPr/>
            </w:pPr>
            <w:r>
              <w:rPr/>
              <w:t> </w:t>
            </w:r>
            <w:bookmarkStart w:id="555" w:name="xdx_49A_20250101__20250630_zeogz2Hv4jq3"/>
            <w:bookmarkEnd w:id="555"/>
          </w:p>
        </w:tc>
        <w:tc>
          <w:tcPr>
            <w:tcW w:w="1300" w:type="dxa"/>
            <w:gridSpan w:val="2"/>
            <w:tcBorders>
              <w:bottom w:val="single" w:sz="8" w:space="0" w:color="000000"/>
            </w:tcBorders>
            <w:vAlign w:val="center"/>
          </w:tcPr>
          <w:p>
            <w:pPr>
              <w:pStyle w:val="TableContents"/>
              <w:bidi w:val="0"/>
              <w:spacing w:before="0" w:after="283"/>
              <w:jc w:val="center"/>
              <w:rPr>
                <w:b/>
              </w:rPr>
            </w:pPr>
            <w:r>
              <w:rPr>
                <w:b/>
              </w:rPr>
              <w:t>2025</w:t>
            </w:r>
          </w:p>
        </w:tc>
        <w:tc>
          <w:tcPr>
            <w:tcW w:w="75" w:type="dxa"/>
            <w:tcBorders/>
            <w:tcMar>
              <w:bottom w:w="0" w:type="dxa"/>
            </w:tcMar>
            <w:vAlign w:val="center"/>
          </w:tcPr>
          <w:p>
            <w:pPr>
              <w:pStyle w:val="TableContents"/>
              <w:bidi w:val="0"/>
              <w:spacing w:before="0" w:after="283"/>
              <w:jc w:val="left"/>
              <w:rPr/>
            </w:pPr>
            <w:r>
              <w:rPr/>
              <w:t> </w:t>
            </w:r>
          </w:p>
        </w:tc>
      </w:tr>
      <w:tr>
        <w:trPr/>
        <w:tc>
          <w:tcPr>
            <w:tcW w:w="38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22" w:type="dxa"/>
            <w:gridSpan w:val="6"/>
            <w:tcBorders>
              <w:bottom w:val="single" w:sz="8" w:space="0" w:color="000000"/>
            </w:tcBorders>
            <w:vAlign w:val="center"/>
          </w:tcPr>
          <w:p>
            <w:pPr>
              <w:pStyle w:val="TableContents"/>
              <w:bidi w:val="0"/>
              <w:spacing w:before="0" w:after="283"/>
              <w:jc w:val="center"/>
              <w:rPr>
                <w:b/>
              </w:rPr>
            </w:pPr>
            <w:r>
              <w:rPr>
                <w:b/>
              </w:rPr>
              <w:t>Three Months Ended June 30,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22" w:type="dxa"/>
            <w:gridSpan w:val="6"/>
            <w:tcBorders>
              <w:bottom w:val="single" w:sz="8" w:space="0" w:color="000000"/>
            </w:tcBorders>
            <w:vAlign w:val="center"/>
          </w:tcPr>
          <w:p>
            <w:pPr>
              <w:pStyle w:val="TableContents"/>
              <w:bidi w:val="0"/>
              <w:spacing w:before="0" w:after="283"/>
              <w:jc w:val="center"/>
              <w:rPr>
                <w:b/>
              </w:rPr>
            </w:pPr>
            <w:r>
              <w:rPr>
                <w:b/>
              </w:rPr>
              <w:t>Six Months Ended June 30,</w:t>
            </w:r>
          </w:p>
        </w:tc>
        <w:tc>
          <w:tcPr>
            <w:tcW w:w="75" w:type="dxa"/>
            <w:tcBorders/>
            <w:tcMar>
              <w:bottom w:w="0" w:type="dxa"/>
            </w:tcMar>
            <w:vAlign w:val="center"/>
          </w:tcPr>
          <w:p>
            <w:pPr>
              <w:pStyle w:val="TableContents"/>
              <w:bidi w:val="0"/>
              <w:spacing w:before="0" w:after="283"/>
              <w:jc w:val="left"/>
              <w:rPr/>
            </w:pPr>
            <w:r>
              <w:rPr/>
              <w:t> </w:t>
            </w:r>
          </w:p>
        </w:tc>
      </w:tr>
      <w:tr>
        <w:trPr/>
        <w:tc>
          <w:tcPr>
            <w:tcW w:w="389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8" w:space="0" w:color="000000"/>
            </w:tcBorders>
            <w:vAlign w:val="center"/>
          </w:tcPr>
          <w:p>
            <w:pPr>
              <w:pStyle w:val="TableContents"/>
              <w:bidi w:val="0"/>
              <w:spacing w:before="0" w:after="283"/>
              <w:jc w:val="center"/>
              <w:rPr>
                <w:b/>
              </w:rPr>
            </w:pPr>
            <w:r>
              <w:rPr>
                <w:b/>
              </w:rPr>
              <w:t>2026</w:t>
            </w:r>
          </w:p>
        </w:tc>
        <w:tc>
          <w:tcPr>
            <w:tcW w:w="161"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2026</w:t>
            </w:r>
          </w:p>
        </w:tc>
        <w:tc>
          <w:tcPr>
            <w:tcW w:w="111" w:type="dxa"/>
            <w:tcBorders/>
            <w:tcMar>
              <w:bottom w:w="0" w:type="dxa"/>
            </w:tcMar>
            <w:vAlign w:val="center"/>
          </w:tcPr>
          <w:p>
            <w:pPr>
              <w:pStyle w:val="TableContents"/>
              <w:bidi w:val="0"/>
              <w:spacing w:before="0" w:after="283"/>
              <w:jc w:val="left"/>
              <w:rPr/>
            </w:pPr>
            <w:r>
              <w:rPr/>
              <w:t> </w:t>
            </w:r>
          </w:p>
        </w:tc>
        <w:tc>
          <w:tcPr>
            <w:tcW w:w="111"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2025</w:t>
            </w:r>
          </w:p>
        </w:tc>
        <w:tc>
          <w:tcPr>
            <w:tcW w:w="75" w:type="dxa"/>
            <w:tcBorders/>
            <w:tcMar>
              <w:bottom w:w="0" w:type="dxa"/>
            </w:tcMar>
            <w:vAlign w:val="center"/>
          </w:tcPr>
          <w:p>
            <w:pPr>
              <w:pStyle w:val="TableContents"/>
              <w:bidi w:val="0"/>
              <w:spacing w:before="0" w:after="283"/>
              <w:jc w:val="left"/>
              <w:rPr/>
            </w:pPr>
            <w:r>
              <w:rPr/>
              <w:t> </w:t>
            </w:r>
            <w:bookmarkStart w:id="556" w:name="xdx_401_eus-gaap--AllocatedShareBasedCom"/>
            <w:bookmarkEnd w:id="556"/>
          </w:p>
        </w:tc>
      </w:tr>
      <w:tr>
        <w:trPr/>
        <w:tc>
          <w:tcPr>
            <w:tcW w:w="389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7" w:type="dxa"/>
            <w:tcBorders/>
            <w:shd w:fill="CCEEFF" w:val="clear"/>
            <w:tcMar>
              <w:bottom w:w="0" w:type="dxa"/>
            </w:tcMar>
            <w:vAlign w:val="center"/>
          </w:tcPr>
          <w:p>
            <w:pPr>
              <w:pStyle w:val="TableContents"/>
              <w:bidi w:val="0"/>
              <w:spacing w:before="0" w:after="283"/>
              <w:jc w:val="left"/>
              <w:rPr/>
            </w:pPr>
            <w:r>
              <w:rPr/>
              <w:t>$</w:t>
            </w:r>
          </w:p>
        </w:tc>
        <w:tc>
          <w:tcPr>
            <w:tcW w:w="1023" w:type="dxa"/>
            <w:tcBorders/>
            <w:shd w:fill="CCEEFF" w:val="clear"/>
            <w:tcMar>
              <w:bottom w:w="0" w:type="dxa"/>
            </w:tcMar>
            <w:vAlign w:val="center"/>
          </w:tcPr>
          <w:p>
            <w:pPr>
              <w:pStyle w:val="TableContents"/>
              <w:bidi w:val="0"/>
              <w:spacing w:before="0" w:after="283"/>
              <w:jc w:val="right"/>
              <w:rPr/>
            </w:pPr>
            <w:r>
              <w:rPr/>
              <w:t>30</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377" w:type="dxa"/>
            <w:tcBorders/>
            <w:shd w:fill="CCEEFF" w:val="clear"/>
            <w:tcMar>
              <w:bottom w:w="0" w:type="dxa"/>
            </w:tcMar>
            <w:vAlign w:val="center"/>
          </w:tcPr>
          <w:p>
            <w:pPr>
              <w:pStyle w:val="TableContents"/>
              <w:bidi w:val="0"/>
              <w:spacing w:before="0" w:after="283"/>
              <w:jc w:val="left"/>
              <w:rPr/>
            </w:pPr>
            <w:r>
              <w:rPr/>
              <w:t>$</w:t>
            </w:r>
          </w:p>
        </w:tc>
        <w:tc>
          <w:tcPr>
            <w:tcW w:w="1023" w:type="dxa"/>
            <w:tcBorders/>
            <w:shd w:fill="CCEEFF" w:val="clear"/>
            <w:tcMar>
              <w:bottom w:w="0" w:type="dxa"/>
            </w:tcMar>
            <w:vAlign w:val="center"/>
          </w:tcPr>
          <w:p>
            <w:pPr>
              <w:pStyle w:val="TableContents"/>
              <w:bidi w:val="0"/>
              <w:spacing w:before="0" w:after="283"/>
              <w:jc w:val="right"/>
              <w:rPr/>
            </w:pPr>
            <w:r>
              <w:rPr/>
              <w:t>184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w:t>
            </w:r>
          </w:p>
        </w:tc>
        <w:tc>
          <w:tcPr>
            <w:tcW w:w="1040" w:type="dxa"/>
            <w:tcBorders/>
            <w:shd w:fill="CCEEFF" w:val="clear"/>
            <w:tcMar>
              <w:bottom w:w="0" w:type="dxa"/>
            </w:tcMar>
            <w:vAlign w:val="center"/>
          </w:tcPr>
          <w:p>
            <w:pPr>
              <w:pStyle w:val="TableContents"/>
              <w:bidi w:val="0"/>
              <w:spacing w:before="0" w:after="283"/>
              <w:jc w:val="right"/>
              <w:rPr/>
            </w:pPr>
            <w:r>
              <w:rPr/>
              <w:t>50</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w:t>
            </w:r>
          </w:p>
        </w:tc>
        <w:tc>
          <w:tcPr>
            <w:tcW w:w="1040" w:type="dxa"/>
            <w:tcBorders/>
            <w:shd w:fill="CCEEFF" w:val="clear"/>
            <w:tcMar>
              <w:bottom w:w="0" w:type="dxa"/>
            </w:tcMar>
            <w:vAlign w:val="center"/>
          </w:tcPr>
          <w:p>
            <w:pPr>
              <w:pStyle w:val="TableContents"/>
              <w:bidi w:val="0"/>
              <w:spacing w:before="0" w:after="283"/>
              <w:jc w:val="right"/>
              <w:rPr/>
            </w:pPr>
            <w:r>
              <w:rPr/>
              <w:t>375</w:t>
            </w:r>
          </w:p>
        </w:tc>
        <w:tc>
          <w:tcPr>
            <w:tcW w:w="75" w:type="dxa"/>
            <w:tcBorders/>
            <w:shd w:fill="CCEEFF" w:val="clear"/>
            <w:tcMar>
              <w:bottom w:w="0" w:type="dxa"/>
            </w:tcMar>
            <w:vAlign w:val="center"/>
          </w:tcPr>
          <w:p>
            <w:pPr>
              <w:pStyle w:val="TableContents"/>
              <w:bidi w:val="0"/>
              <w:spacing w:before="0" w:after="283"/>
              <w:jc w:val="left"/>
              <w:rPr/>
            </w:pPr>
            <w:r>
              <w:rPr/>
              <w:t> </w:t>
            </w:r>
            <w:bookmarkStart w:id="557" w:name="xdx_408_eus-gaap--AllocatedShareBasedCom"/>
            <w:bookmarkEnd w:id="557"/>
          </w:p>
        </w:tc>
      </w:tr>
      <w:tr>
        <w:trPr/>
        <w:tc>
          <w:tcPr>
            <w:tcW w:w="3890"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7" w:type="dxa"/>
            <w:tcBorders>
              <w:bottom w:val="single" w:sz="8" w:space="0" w:color="000000"/>
            </w:tcBorders>
            <w:shd w:fill="FFFFFF" w:val="clear"/>
            <w:vAlign w:val="center"/>
          </w:tcPr>
          <w:p>
            <w:pPr>
              <w:pStyle w:val="TableContents"/>
              <w:bidi w:val="0"/>
              <w:spacing w:before="0" w:after="283"/>
              <w:jc w:val="left"/>
              <w:rPr/>
            </w:pPr>
            <w:r>
              <w:rPr/>
              <w:t> </w:t>
            </w:r>
          </w:p>
        </w:tc>
        <w:tc>
          <w:tcPr>
            <w:tcW w:w="1023" w:type="dxa"/>
            <w:tcBorders>
              <w:bottom w:val="single" w:sz="8" w:space="0" w:color="000000"/>
            </w:tcBorders>
            <w:shd w:fill="FFFFFF" w:val="clear"/>
            <w:vAlign w:val="center"/>
          </w:tcPr>
          <w:p>
            <w:pPr>
              <w:pStyle w:val="TableContents"/>
              <w:bidi w:val="0"/>
              <w:spacing w:before="0" w:after="283"/>
              <w:jc w:val="right"/>
              <w:rPr/>
            </w:pPr>
            <w:r>
              <w:rPr/>
              <w:t>681</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377" w:type="dxa"/>
            <w:tcBorders>
              <w:bottom w:val="single" w:sz="8" w:space="0" w:color="000000"/>
            </w:tcBorders>
            <w:shd w:fill="FFFFFF" w:val="clear"/>
            <w:vAlign w:val="center"/>
          </w:tcPr>
          <w:p>
            <w:pPr>
              <w:pStyle w:val="TableContents"/>
              <w:bidi w:val="0"/>
              <w:spacing w:before="0" w:after="283"/>
              <w:jc w:val="left"/>
              <w:rPr/>
            </w:pPr>
            <w:r>
              <w:rPr/>
              <w:t> </w:t>
            </w:r>
          </w:p>
        </w:tc>
        <w:tc>
          <w:tcPr>
            <w:tcW w:w="1023" w:type="dxa"/>
            <w:tcBorders>
              <w:bottom w:val="single" w:sz="8" w:space="0" w:color="000000"/>
            </w:tcBorders>
            <w:shd w:fill="FFFFFF" w:val="clear"/>
            <w:vAlign w:val="center"/>
          </w:tcPr>
          <w:p>
            <w:pPr>
              <w:pStyle w:val="TableContents"/>
              <w:bidi w:val="0"/>
              <w:spacing w:before="0" w:after="283"/>
              <w:jc w:val="right"/>
              <w:rPr/>
            </w:pPr>
            <w:r>
              <w:rPr/>
              <w:t>535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bottom w:val="single" w:sz="8" w:space="0" w:color="000000"/>
            </w:tcBorders>
            <w:shd w:fill="FFFFFF" w:val="clear"/>
            <w:vAlign w:val="center"/>
          </w:tcPr>
          <w:p>
            <w:pPr>
              <w:pStyle w:val="TableContents"/>
              <w:bidi w:val="0"/>
              <w:spacing w:before="0" w:after="283"/>
              <w:jc w:val="left"/>
              <w:rPr/>
            </w:pPr>
            <w:r>
              <w:rPr/>
              <w:t> </w:t>
            </w:r>
          </w:p>
        </w:tc>
        <w:tc>
          <w:tcPr>
            <w:tcW w:w="1040" w:type="dxa"/>
            <w:tcBorders>
              <w:bottom w:val="single" w:sz="8" w:space="0" w:color="000000"/>
            </w:tcBorders>
            <w:shd w:fill="FFFFFF" w:val="clear"/>
            <w:vAlign w:val="center"/>
          </w:tcPr>
          <w:p>
            <w:pPr>
              <w:pStyle w:val="TableContents"/>
              <w:bidi w:val="0"/>
              <w:spacing w:before="0" w:after="283"/>
              <w:jc w:val="right"/>
              <w:rPr/>
            </w:pPr>
            <w:r>
              <w:rPr/>
              <w:t>966</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260" w:type="dxa"/>
            <w:tcBorders>
              <w:bottom w:val="single" w:sz="8" w:space="0" w:color="000000"/>
            </w:tcBorders>
            <w:shd w:fill="FFFFFF" w:val="clear"/>
            <w:vAlign w:val="center"/>
          </w:tcPr>
          <w:p>
            <w:pPr>
              <w:pStyle w:val="TableContents"/>
              <w:bidi w:val="0"/>
              <w:spacing w:before="0" w:after="283"/>
              <w:jc w:val="left"/>
              <w:rPr/>
            </w:pPr>
            <w:r>
              <w:rPr/>
              <w:t> </w:t>
            </w:r>
          </w:p>
        </w:tc>
        <w:tc>
          <w:tcPr>
            <w:tcW w:w="1040" w:type="dxa"/>
            <w:tcBorders>
              <w:bottom w:val="single" w:sz="8" w:space="0" w:color="000000"/>
            </w:tcBorders>
            <w:shd w:fill="FFFFFF" w:val="clear"/>
            <w:vAlign w:val="center"/>
          </w:tcPr>
          <w:p>
            <w:pPr>
              <w:pStyle w:val="TableContents"/>
              <w:bidi w:val="0"/>
              <w:spacing w:before="0" w:after="283"/>
              <w:jc w:val="right"/>
              <w:rPr/>
            </w:pPr>
            <w:r>
              <w:rPr/>
              <w:t>1,359</w:t>
            </w:r>
          </w:p>
        </w:tc>
        <w:tc>
          <w:tcPr>
            <w:tcW w:w="75" w:type="dxa"/>
            <w:tcBorders/>
            <w:shd w:fill="FFFFFF" w:val="clear"/>
            <w:tcMar>
              <w:bottom w:w="0" w:type="dxa"/>
            </w:tcMar>
            <w:vAlign w:val="center"/>
          </w:tcPr>
          <w:p>
            <w:pPr>
              <w:pStyle w:val="TableContents"/>
              <w:bidi w:val="0"/>
              <w:spacing w:before="0" w:after="283"/>
              <w:jc w:val="left"/>
              <w:rPr/>
            </w:pPr>
            <w:r>
              <w:rPr/>
              <w:t> </w:t>
            </w:r>
            <w:bookmarkStart w:id="558" w:name="xdx_40D_eus-gaap--AllocatedShareBasedCom"/>
            <w:bookmarkEnd w:id="558"/>
          </w:p>
        </w:tc>
      </w:tr>
      <w:tr>
        <w:trPr/>
        <w:tc>
          <w:tcPr>
            <w:tcW w:w="3890" w:type="dxa"/>
            <w:tcBorders/>
            <w:shd w:fill="CCEEFF" w:val="clear"/>
            <w:tcMar>
              <w:bottom w:w="0" w:type="dxa"/>
            </w:tcMar>
            <w:vAlign w:val="center"/>
          </w:tcPr>
          <w:p>
            <w:pPr>
              <w:pStyle w:val="TableContents"/>
              <w:bidi w:val="0"/>
              <w:spacing w:before="0" w:after="283"/>
              <w:jc w:val="left"/>
              <w:rPr/>
            </w:pPr>
            <w:r>
              <w:rPr/>
              <w:t>Total stock-based compensation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7" w:type="dxa"/>
            <w:tcBorders>
              <w:bottom w:val="double" w:sz="6" w:space="0" w:color="000000"/>
            </w:tcBorders>
            <w:shd w:fill="CCEEFF" w:val="clear"/>
            <w:vAlign w:val="center"/>
          </w:tcPr>
          <w:p>
            <w:pPr>
              <w:pStyle w:val="TableContents"/>
              <w:bidi w:val="0"/>
              <w:spacing w:before="0" w:after="283"/>
              <w:jc w:val="left"/>
              <w:rPr/>
            </w:pPr>
            <w:r>
              <w:rPr/>
              <w:t>$</w:t>
            </w:r>
          </w:p>
        </w:tc>
        <w:tc>
          <w:tcPr>
            <w:tcW w:w="1023" w:type="dxa"/>
            <w:tcBorders>
              <w:bottom w:val="double" w:sz="6" w:space="0" w:color="000000"/>
            </w:tcBorders>
            <w:shd w:fill="CCEEFF" w:val="clear"/>
            <w:vAlign w:val="center"/>
          </w:tcPr>
          <w:p>
            <w:pPr>
              <w:pStyle w:val="TableContents"/>
              <w:bidi w:val="0"/>
              <w:spacing w:before="0" w:after="283"/>
              <w:jc w:val="right"/>
              <w:rPr/>
            </w:pPr>
            <w:r>
              <w:rPr/>
              <w:t>711</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377" w:type="dxa"/>
            <w:tcBorders>
              <w:bottom w:val="double" w:sz="6" w:space="0" w:color="000000"/>
            </w:tcBorders>
            <w:shd w:fill="CCEEFF" w:val="clear"/>
            <w:vAlign w:val="center"/>
          </w:tcPr>
          <w:p>
            <w:pPr>
              <w:pStyle w:val="TableContents"/>
              <w:bidi w:val="0"/>
              <w:spacing w:before="0" w:after="283"/>
              <w:jc w:val="left"/>
              <w:rPr/>
            </w:pPr>
            <w:r>
              <w:rPr/>
              <w:t>$</w:t>
            </w:r>
          </w:p>
        </w:tc>
        <w:tc>
          <w:tcPr>
            <w:tcW w:w="1023" w:type="dxa"/>
            <w:tcBorders>
              <w:bottom w:val="double" w:sz="6" w:space="0" w:color="000000"/>
            </w:tcBorders>
            <w:shd w:fill="CCEEFF" w:val="clear"/>
            <w:vAlign w:val="center"/>
          </w:tcPr>
          <w:p>
            <w:pPr>
              <w:pStyle w:val="TableContents"/>
              <w:bidi w:val="0"/>
              <w:spacing w:before="0" w:after="283"/>
              <w:jc w:val="right"/>
              <w:rPr/>
            </w:pPr>
            <w:r>
              <w:rPr/>
              <w:t>719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bottom w:val="double" w:sz="6" w:space="0" w:color="000000"/>
            </w:tcBorders>
            <w:shd w:fill="CCEEFF" w:val="clear"/>
            <w:vAlign w:val="center"/>
          </w:tcPr>
          <w:p>
            <w:pPr>
              <w:pStyle w:val="TableContents"/>
              <w:bidi w:val="0"/>
              <w:spacing w:before="0" w:after="283"/>
              <w:jc w:val="left"/>
              <w:rPr/>
            </w:pPr>
            <w:r>
              <w:rPr/>
              <w:t>$</w:t>
            </w:r>
          </w:p>
        </w:tc>
        <w:tc>
          <w:tcPr>
            <w:tcW w:w="1040" w:type="dxa"/>
            <w:tcBorders>
              <w:bottom w:val="double" w:sz="6" w:space="0" w:color="000000"/>
            </w:tcBorders>
            <w:shd w:fill="CCEEFF" w:val="clear"/>
            <w:vAlign w:val="center"/>
          </w:tcPr>
          <w:p>
            <w:pPr>
              <w:pStyle w:val="TableContents"/>
              <w:bidi w:val="0"/>
              <w:spacing w:before="0" w:after="283"/>
              <w:jc w:val="right"/>
              <w:rPr/>
            </w:pPr>
            <w:r>
              <w:rPr/>
              <w:t>1,016</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260" w:type="dxa"/>
            <w:tcBorders>
              <w:bottom w:val="double" w:sz="6" w:space="0" w:color="000000"/>
            </w:tcBorders>
            <w:shd w:fill="CCEEFF" w:val="clear"/>
            <w:vAlign w:val="center"/>
          </w:tcPr>
          <w:p>
            <w:pPr>
              <w:pStyle w:val="TableContents"/>
              <w:bidi w:val="0"/>
              <w:spacing w:before="0" w:after="283"/>
              <w:jc w:val="left"/>
              <w:rPr/>
            </w:pPr>
            <w:r>
              <w:rPr/>
              <w:t>$</w:t>
            </w:r>
          </w:p>
        </w:tc>
        <w:tc>
          <w:tcPr>
            <w:tcW w:w="1040" w:type="dxa"/>
            <w:tcBorders>
              <w:bottom w:val="double" w:sz="6" w:space="0" w:color="000000"/>
            </w:tcBorders>
            <w:shd w:fill="CCEEFF" w:val="clear"/>
            <w:vAlign w:val="center"/>
          </w:tcPr>
          <w:p>
            <w:pPr>
              <w:pStyle w:val="TableContents"/>
              <w:bidi w:val="0"/>
              <w:spacing w:before="0" w:after="283"/>
              <w:jc w:val="right"/>
              <w:rPr/>
            </w:pPr>
            <w:r>
              <w:rPr/>
              <w:t>1,734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9" w:name="xdx_8A1_zJvDPpgsuWH"/>
      <w:bookmarkEnd w:id="5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total unrecognized compensation cost related to unvested stock options was $</w:t>
      </w:r>
      <w:bookmarkStart w:id="560" w:name="xdx_90E_eus-gaap--EmployeeServiceShareBa"/>
      <w:bookmarkEnd w:id="560"/>
      <w:r>
        <w:rPr>
          <w:rFonts w:ascii="Times New Roman;Times;Serif" w:hAnsi="Times New Roman;Times;Serif"/>
          <w:b w:val="false"/>
          <w:i w:val="false"/>
          <w:caps w:val="false"/>
          <w:smallCaps w:val="false"/>
          <w:sz w:val="20"/>
        </w:rPr>
        <w:t xml:space="preserve">3.4 million, which is expected to be recognized over a weighted average period of </w:t>
      </w:r>
      <w:bookmarkStart w:id="561" w:name="xdx_905_eus-gaap--EmployeeServiceShareBa"/>
      <w:bookmarkEnd w:id="561"/>
      <w:r>
        <w:rPr>
          <w:rFonts w:ascii="Times New Roman;Times;Serif" w:hAnsi="Times New Roman;Times;Serif"/>
          <w:b w:val="false"/>
          <w:i w:val="false"/>
          <w:caps w:val="false"/>
          <w:smallCaps w:val="false"/>
          <w:sz w:val="20"/>
        </w:rPr>
        <w:t>2.6 years. As of June 30, 2026, no unrecognized compensation cost remains related to time-based RSUs.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2" w:name="xdx_804_eus-gaap--FairValueDisclosuresTe"/>
      <w:bookmarkEnd w:id="562"/>
      <w:r>
        <w:rPr>
          <w:rFonts w:ascii="Times New Roman;Times;Serif" w:hAnsi="Times New Roman;Times;Serif"/>
          <w:b/>
          <w:i w:val="false"/>
          <w:caps w:val="false"/>
          <w:smallCaps w:val="false"/>
          <w:sz w:val="20"/>
        </w:rPr>
        <w:t xml:space="preserve">Note 8. </w:t>
      </w:r>
      <w:bookmarkStart w:id="563" w:name="xdx_82A_znX8wvcqXlt"/>
      <w:bookmarkEnd w:id="563"/>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and Liabilities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4" w:name="xdx_89C_eus-gaap--ScheduleOfFairValueAss"/>
      <w:bookmarkEnd w:id="564"/>
      <w:r>
        <w:rPr>
          <w:rFonts w:ascii="Times New Roman;Times;Serif" w:hAnsi="Times New Roman;Times;Serif"/>
          <w:b w:val="false"/>
          <w:i w:val="false"/>
          <w:caps w:val="false"/>
          <w:smallCaps w:val="false"/>
          <w:sz w:val="20"/>
        </w:rPr>
        <w:t>The following table presents information about the Company’s financial liabilities measured at fair value on a recurring basis and indicates the level of the fair value hierarchy used to determine such values:</w:t>
      </w:r>
    </w:p>
    <w:p>
      <w:pPr>
        <w:pStyle w:val="TextBody"/>
        <w:bidi w:val="0"/>
        <w:spacing w:before="0" w:after="0"/>
        <w:ind w:left="0" w:right="0" w:hanging="0"/>
        <w:jc w:val="both"/>
        <w:rPr>
          <w:caps w:val="false"/>
          <w:smallCaps w:val="false"/>
        </w:rPr>
      </w:pPr>
      <w:r>
        <w:rPr>
          <w:caps w:val="false"/>
          <w:smallCaps w:val="false"/>
        </w:rPr>
        <w:t> </w:t>
      </w:r>
      <w:bookmarkStart w:id="565" w:name="xdx_8BD_zaQgHzzrEeV7"/>
      <w:bookmarkEnd w:id="565"/>
      <w:r>
        <w:rPr>
          <w:rFonts w:ascii="Times New Roman;Times;Serif" w:hAnsi="Times New Roman;Times;Serif"/>
          <w:b w:val="false"/>
          <w:i w:val="false"/>
          <w:caps w:val="false"/>
          <w:smallCaps w:val="false"/>
          <w:sz w:val="20"/>
        </w:rPr>
        <w:t>Schedule of Financial Liabilities Measured at Fair Value on Recurring Basis</w:t>
      </w:r>
    </w:p>
    <w:tbl>
      <w:tblPr>
        <w:tblW w:w="8437" w:type="dxa"/>
        <w:jc w:val="left"/>
        <w:tblInd w:w="0" w:type="dxa"/>
        <w:tblLayout w:type="fixed"/>
        <w:tblCellMar>
          <w:top w:w="0" w:type="dxa"/>
          <w:left w:w="0" w:type="dxa"/>
          <w:bottom w:w="28" w:type="dxa"/>
          <w:right w:w="0" w:type="dxa"/>
        </w:tblCellMar>
      </w:tblPr>
      <w:tblGrid>
        <w:gridCol w:w="5120"/>
        <w:gridCol w:w="60"/>
        <w:gridCol w:w="150"/>
        <w:gridCol w:w="410"/>
        <w:gridCol w:w="60"/>
        <w:gridCol w:w="60"/>
        <w:gridCol w:w="263"/>
        <w:gridCol w:w="491"/>
        <w:gridCol w:w="60"/>
        <w:gridCol w:w="60"/>
        <w:gridCol w:w="263"/>
        <w:gridCol w:w="491"/>
        <w:gridCol w:w="60"/>
        <w:gridCol w:w="60"/>
        <w:gridCol w:w="202"/>
        <w:gridCol w:w="552"/>
        <w:gridCol w:w="75"/>
      </w:tblGrid>
      <w:tr>
        <w:trPr/>
        <w:tc>
          <w:tcPr>
            <w:tcW w:w="512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bookmarkStart w:id="566" w:name="xdx_49C_20260630__us-gaap--FairValueByMe"/>
            <w:bookmarkEnd w:id="566"/>
          </w:p>
        </w:tc>
        <w:tc>
          <w:tcPr>
            <w:tcW w:w="560" w:type="dxa"/>
            <w:gridSpan w:val="2"/>
            <w:tcBorders>
              <w:bottom w:val="single" w:sz="8"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67" w:name="xdx_49C_20260630__us-gaap--FairValueByFa"/>
            <w:bookmarkEnd w:id="567"/>
          </w:p>
        </w:tc>
        <w:tc>
          <w:tcPr>
            <w:tcW w:w="754" w:type="dxa"/>
            <w:gridSpan w:val="2"/>
            <w:tcBorders>
              <w:bottom w:val="single" w:sz="8" w:space="0" w:color="000000"/>
            </w:tcBorders>
            <w:vAlign w:val="center"/>
          </w:tcPr>
          <w:p>
            <w:pPr>
              <w:pStyle w:val="TableContents"/>
              <w:bidi w:val="0"/>
              <w:spacing w:before="0" w:after="283"/>
              <w:jc w:val="center"/>
              <w:rPr>
                <w:b/>
              </w:rPr>
            </w:pPr>
            <w:r>
              <w:rPr>
                <w:b/>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68" w:name="xdx_494_20260630__us-gaap--FairValueByFa"/>
            <w:bookmarkEnd w:id="568"/>
          </w:p>
        </w:tc>
        <w:tc>
          <w:tcPr>
            <w:tcW w:w="754" w:type="dxa"/>
            <w:gridSpan w:val="2"/>
            <w:tcBorders>
              <w:bottom w:val="single" w:sz="8" w:space="0" w:color="000000"/>
            </w:tcBorders>
            <w:vAlign w:val="center"/>
          </w:tcPr>
          <w:p>
            <w:pPr>
              <w:pStyle w:val="TableContents"/>
              <w:bidi w:val="0"/>
              <w:spacing w:before="0" w:after="283"/>
              <w:jc w:val="center"/>
              <w:rPr>
                <w:b/>
              </w:rPr>
            </w:pPr>
            <w:r>
              <w:rPr>
                <w:b/>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69" w:name="xdx_49E_20260630__us-gaap--FairValueByFa"/>
            <w:bookmarkEnd w:id="569"/>
          </w:p>
        </w:tc>
        <w:tc>
          <w:tcPr>
            <w:tcW w:w="754" w:type="dxa"/>
            <w:gridSpan w:val="2"/>
            <w:tcBorders>
              <w:bottom w:val="single" w:sz="8" w:space="0" w:color="000000"/>
            </w:tcBorders>
            <w:vAlign w:val="center"/>
          </w:tcPr>
          <w:p>
            <w:pPr>
              <w:pStyle w:val="TableContents"/>
              <w:bidi w:val="0"/>
              <w:spacing w:before="0" w:after="283"/>
              <w:jc w:val="center"/>
              <w:rPr>
                <w:b/>
              </w:rPr>
            </w:pPr>
            <w:r>
              <w:rPr>
                <w:b/>
              </w:rPr>
              <w:t>Level 3</w:t>
            </w:r>
          </w:p>
        </w:tc>
        <w:tc>
          <w:tcPr>
            <w:tcW w:w="75" w:type="dxa"/>
            <w:tcBorders/>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82" w:type="dxa"/>
            <w:gridSpan w:val="14"/>
            <w:tcBorders>
              <w:bottom w:val="single" w:sz="8" w:space="0" w:color="000000"/>
            </w:tcBorders>
            <w:vAlign w:val="center"/>
          </w:tcPr>
          <w:p>
            <w:pPr>
              <w:pStyle w:val="TableContents"/>
              <w:bidi w:val="0"/>
              <w:spacing w:before="0" w:after="283"/>
              <w:jc w:val="center"/>
              <w:rPr>
                <w:b/>
              </w:rPr>
            </w:pPr>
            <w:r>
              <w:rPr>
                <w:b/>
              </w:rPr>
              <w:t>June 30, 2026</w:t>
            </w:r>
          </w:p>
        </w:tc>
        <w:tc>
          <w:tcPr>
            <w:tcW w:w="75" w:type="dxa"/>
            <w:tcBorders/>
            <w:tcMar>
              <w:bottom w:w="0" w:type="dxa"/>
            </w:tcMar>
            <w:vAlign w:val="center"/>
          </w:tcPr>
          <w:p>
            <w:pPr>
              <w:pStyle w:val="TableContents"/>
              <w:bidi w:val="0"/>
              <w:spacing w:before="0" w:after="283"/>
              <w:jc w:val="left"/>
              <w:rPr/>
            </w:pPr>
            <w:r>
              <w:rPr/>
              <w:t> </w:t>
            </w:r>
          </w:p>
        </w:tc>
      </w:tr>
      <w:tr>
        <w:trPr/>
        <w:tc>
          <w:tcPr>
            <w:tcW w:w="512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b/>
              </w:rPr>
            </w:pPr>
            <w:r>
              <w:rPr>
                <w:b/>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b/>
              </w:rPr>
            </w:pPr>
            <w:r>
              <w:rPr>
                <w:b/>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b/>
              </w:rPr>
            </w:pPr>
            <w:r>
              <w:rPr>
                <w:b/>
              </w:rPr>
              <w:t>Level 3</w:t>
            </w:r>
          </w:p>
        </w:tc>
        <w:tc>
          <w:tcPr>
            <w:tcW w:w="75"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b/>
              </w:rPr>
            </w:pPr>
            <w:r>
              <w:rPr>
                <w:b/>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41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55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570" w:name="xdx_400_eus-gaap--FinancialLiabilitiesFa"/>
            <w:bookmarkEnd w:id="570"/>
          </w:p>
        </w:tc>
      </w:tr>
      <w:tr>
        <w:trPr/>
        <w:tc>
          <w:tcPr>
            <w:tcW w:w="5120" w:type="dxa"/>
            <w:tcBorders/>
            <w:shd w:fill="FFFFFF" w:val="clear"/>
            <w:tcMar>
              <w:bottom w:w="0" w:type="dxa"/>
            </w:tcMar>
            <w:vAlign w:val="center"/>
          </w:tcPr>
          <w:p>
            <w:pPr>
              <w:pStyle w:val="TableContents"/>
              <w:bidi w:val="0"/>
              <w:spacing w:before="0" w:after="283"/>
              <w:jc w:val="left"/>
              <w:rPr/>
            </w:pPr>
            <w:r>
              <w:rPr/>
              <w:t>Warrant liability - April 2023 Peak Bio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w:t>
            </w:r>
          </w:p>
        </w:tc>
        <w:tc>
          <w:tcPr>
            <w:tcW w:w="410" w:type="dxa"/>
            <w:tcBorders/>
            <w:shd w:fill="FFFFFF" w:val="clear"/>
            <w:tcMar>
              <w:bottom w:w="0" w:type="dxa"/>
            </w:tcMar>
            <w:vAlign w:val="center"/>
          </w:tcPr>
          <w:p>
            <w:pPr>
              <w:pStyle w:val="TableContents"/>
              <w:bidi w:val="0"/>
              <w:spacing w:before="0" w:after="283"/>
              <w:jc w:val="right"/>
              <w:rPr/>
            </w:pPr>
            <w:r>
              <w:rPr/>
              <w:t>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w:t>
            </w:r>
          </w:p>
        </w:tc>
        <w:tc>
          <w:tcPr>
            <w:tcW w:w="4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w:t>
            </w:r>
          </w:p>
        </w:tc>
        <w:tc>
          <w:tcPr>
            <w:tcW w:w="4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w:t>
            </w:r>
          </w:p>
        </w:tc>
        <w:tc>
          <w:tcPr>
            <w:tcW w:w="552" w:type="dxa"/>
            <w:tcBorders/>
            <w:shd w:fill="FFFFFF" w:val="clear"/>
            <w:tcMar>
              <w:bottom w:w="0" w:type="dxa"/>
            </w:tcMar>
            <w:vAlign w:val="center"/>
          </w:tcPr>
          <w:p>
            <w:pPr>
              <w:pStyle w:val="TableContents"/>
              <w:bidi w:val="0"/>
              <w:spacing w:before="0" w:after="283"/>
              <w:jc w:val="right"/>
              <w:rPr/>
            </w:pPr>
            <w:r>
              <w:rPr/>
              <w:t>85</w:t>
            </w:r>
          </w:p>
        </w:tc>
        <w:tc>
          <w:tcPr>
            <w:tcW w:w="75" w:type="dxa"/>
            <w:tcBorders/>
            <w:shd w:fill="FFFFFF" w:val="clear"/>
            <w:tcMar>
              <w:bottom w:w="0" w:type="dxa"/>
            </w:tcMar>
            <w:vAlign w:val="center"/>
          </w:tcPr>
          <w:p>
            <w:pPr>
              <w:pStyle w:val="TableContents"/>
              <w:bidi w:val="0"/>
              <w:spacing w:before="0" w:after="283"/>
              <w:jc w:val="left"/>
              <w:rPr/>
            </w:pPr>
            <w:r>
              <w:rPr/>
              <w:t> </w:t>
            </w:r>
            <w:bookmarkStart w:id="571" w:name="xdx_403_eus-gaap--FinancialLiabilitiesFa"/>
            <w:bookmarkEnd w:id="571"/>
          </w:p>
        </w:tc>
      </w:tr>
      <w:tr>
        <w:trPr/>
        <w:tc>
          <w:tcPr>
            <w:tcW w:w="5120" w:type="dxa"/>
            <w:tcBorders/>
            <w:shd w:fill="CCEEFF" w:val="clear"/>
            <w:tcMar>
              <w:bottom w:w="0" w:type="dxa"/>
            </w:tcMar>
            <w:vAlign w:val="center"/>
          </w:tcPr>
          <w:p>
            <w:pPr>
              <w:pStyle w:val="TableContents"/>
              <w:bidi w:val="0"/>
              <w:spacing w:before="0" w:after="283"/>
              <w:jc w:val="left"/>
              <w:rPr/>
            </w:pPr>
            <w:r>
              <w:rPr/>
              <w:t>Warrant liability – September 2022 Series B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410" w:type="dxa"/>
            <w:tcBorders>
              <w:bottom w:val="single" w:sz="8" w:space="0" w:color="000000"/>
            </w:tcBorders>
            <w:shd w:fill="CCEEFF" w:val="clear"/>
            <w:vAlign w:val="center"/>
          </w:tcPr>
          <w:p>
            <w:pPr>
              <w:pStyle w:val="TableContents"/>
              <w:bidi w:val="0"/>
              <w:spacing w:before="0" w:after="283"/>
              <w:jc w:val="right"/>
              <w:rPr/>
            </w:pPr>
            <w:r>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single" w:sz="8" w:space="0" w:color="000000"/>
            </w:tcBorders>
            <w:shd w:fill="CCEEFF" w:val="clear"/>
            <w:vAlign w:val="center"/>
          </w:tcPr>
          <w:p>
            <w:pPr>
              <w:pStyle w:val="TableContents"/>
              <w:bidi w:val="0"/>
              <w:spacing w:before="0" w:after="283"/>
              <w:jc w:val="left"/>
              <w:rPr/>
            </w:pPr>
            <w:r>
              <w:rPr/>
              <w:t> </w:t>
            </w:r>
          </w:p>
        </w:tc>
        <w:tc>
          <w:tcPr>
            <w:tcW w:w="491"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single" w:sz="8" w:space="0" w:color="000000"/>
            </w:tcBorders>
            <w:shd w:fill="CCEEFF" w:val="clear"/>
            <w:vAlign w:val="center"/>
          </w:tcPr>
          <w:p>
            <w:pPr>
              <w:pStyle w:val="TableContents"/>
              <w:bidi w:val="0"/>
              <w:spacing w:before="0" w:after="283"/>
              <w:jc w:val="left"/>
              <w:rPr/>
            </w:pPr>
            <w:r>
              <w:rPr/>
              <w:t> </w:t>
            </w:r>
          </w:p>
        </w:tc>
        <w:tc>
          <w:tcPr>
            <w:tcW w:w="491"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single" w:sz="8" w:space="0" w:color="000000"/>
            </w:tcBorders>
            <w:shd w:fill="CCEEFF" w:val="clear"/>
            <w:vAlign w:val="center"/>
          </w:tcPr>
          <w:p>
            <w:pPr>
              <w:pStyle w:val="TableContents"/>
              <w:bidi w:val="0"/>
              <w:spacing w:before="0" w:after="283"/>
              <w:jc w:val="left"/>
              <w:rPr/>
            </w:pPr>
            <w:r>
              <w:rPr/>
              <w:t> </w:t>
            </w:r>
          </w:p>
        </w:tc>
        <w:tc>
          <w:tcPr>
            <w:tcW w:w="552" w:type="dxa"/>
            <w:tcBorders>
              <w:bottom w:val="single" w:sz="8" w:space="0" w:color="000000"/>
            </w:tcBorders>
            <w:shd w:fill="CCEEFF" w:val="clear"/>
            <w:vAlign w:val="center"/>
          </w:tcPr>
          <w:p>
            <w:pPr>
              <w:pStyle w:val="TableContents"/>
              <w:bidi w:val="0"/>
              <w:spacing w:before="0" w:after="283"/>
              <w:jc w:val="right"/>
              <w:rPr/>
            </w:pPr>
            <w:r>
              <w:rPr/>
              <w:t>31</w:t>
            </w:r>
          </w:p>
        </w:tc>
        <w:tc>
          <w:tcPr>
            <w:tcW w:w="75" w:type="dxa"/>
            <w:tcBorders/>
            <w:shd w:fill="CCEEFF" w:val="clear"/>
            <w:tcMar>
              <w:bottom w:w="0" w:type="dxa"/>
            </w:tcMar>
            <w:vAlign w:val="center"/>
          </w:tcPr>
          <w:p>
            <w:pPr>
              <w:pStyle w:val="TableContents"/>
              <w:bidi w:val="0"/>
              <w:spacing w:before="0" w:after="283"/>
              <w:jc w:val="left"/>
              <w:rPr/>
            </w:pPr>
            <w:r>
              <w:rPr/>
              <w:t> </w:t>
            </w:r>
            <w:bookmarkStart w:id="572" w:name="xdx_400_eus-gaap--FinancialLiabilitiesFa"/>
            <w:bookmarkEnd w:id="572"/>
          </w:p>
        </w:tc>
      </w:tr>
      <w:tr>
        <w:trPr/>
        <w:tc>
          <w:tcPr>
            <w:tcW w:w="5120" w:type="dxa"/>
            <w:tcBorders/>
            <w:shd w:fill="FFFFFF" w:val="clear"/>
            <w:tcMar>
              <w:bottom w:w="0" w:type="dxa"/>
            </w:tcMar>
            <w:vAlign w:val="center"/>
          </w:tcPr>
          <w:p>
            <w:pPr>
              <w:pStyle w:val="TableContents"/>
              <w:bidi w:val="0"/>
              <w:spacing w:before="0" w:after="283"/>
              <w:jc w:val="left"/>
              <w:rPr/>
            </w:pPr>
            <w:r>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vAlign w:val="center"/>
          </w:tcPr>
          <w:p>
            <w:pPr>
              <w:pStyle w:val="TableContents"/>
              <w:bidi w:val="0"/>
              <w:spacing w:before="0" w:after="283"/>
              <w:jc w:val="left"/>
              <w:rPr/>
            </w:pPr>
            <w:r>
              <w:rPr/>
              <w:t>$</w:t>
            </w:r>
          </w:p>
        </w:tc>
        <w:tc>
          <w:tcPr>
            <w:tcW w:w="410" w:type="dxa"/>
            <w:tcBorders>
              <w:bottom w:val="double" w:sz="6" w:space="0" w:color="000000"/>
            </w:tcBorders>
            <w:shd w:fill="FFFFFF" w:val="clear"/>
            <w:vAlign w:val="center"/>
          </w:tcPr>
          <w:p>
            <w:pPr>
              <w:pStyle w:val="TableContents"/>
              <w:bidi w:val="0"/>
              <w:spacing w:before="0" w:after="283"/>
              <w:jc w:val="right"/>
              <w:rPr/>
            </w:pPr>
            <w:r>
              <w:rPr/>
              <w:t>116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vAlign w:val="center"/>
          </w:tcPr>
          <w:p>
            <w:pPr>
              <w:pStyle w:val="TableContents"/>
              <w:bidi w:val="0"/>
              <w:spacing w:before="0" w:after="283"/>
              <w:jc w:val="left"/>
              <w:rPr/>
            </w:pPr>
            <w:r>
              <w:rPr/>
              <w:t>$</w:t>
            </w:r>
          </w:p>
        </w:tc>
        <w:tc>
          <w:tcPr>
            <w:tcW w:w="491" w:type="dxa"/>
            <w:tcBorders>
              <w:bottom w:val="double" w:sz="6"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vAlign w:val="center"/>
          </w:tcPr>
          <w:p>
            <w:pPr>
              <w:pStyle w:val="TableContents"/>
              <w:bidi w:val="0"/>
              <w:spacing w:before="0" w:after="283"/>
              <w:jc w:val="left"/>
              <w:rPr/>
            </w:pPr>
            <w:r>
              <w:rPr/>
              <w:t>$</w:t>
            </w:r>
          </w:p>
        </w:tc>
        <w:tc>
          <w:tcPr>
            <w:tcW w:w="491" w:type="dxa"/>
            <w:tcBorders>
              <w:bottom w:val="double" w:sz="6"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vAlign w:val="center"/>
          </w:tcPr>
          <w:p>
            <w:pPr>
              <w:pStyle w:val="TableContents"/>
              <w:bidi w:val="0"/>
              <w:spacing w:before="0" w:after="283"/>
              <w:jc w:val="left"/>
              <w:rPr/>
            </w:pPr>
            <w:r>
              <w:rPr/>
              <w:t>$</w:t>
            </w:r>
          </w:p>
        </w:tc>
        <w:tc>
          <w:tcPr>
            <w:tcW w:w="552" w:type="dxa"/>
            <w:tcBorders>
              <w:bottom w:val="double" w:sz="6" w:space="0" w:color="000000"/>
            </w:tcBorders>
            <w:shd w:fill="FFFFFF" w:val="clear"/>
            <w:vAlign w:val="center"/>
          </w:tcPr>
          <w:p>
            <w:pPr>
              <w:pStyle w:val="TableContents"/>
              <w:bidi w:val="0"/>
              <w:spacing w:before="0" w:after="283"/>
              <w:jc w:val="right"/>
              <w:rPr/>
            </w:pPr>
            <w:r>
              <w:rPr/>
              <w:t>116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37" w:type="dxa"/>
        <w:jc w:val="left"/>
        <w:tblInd w:w="0" w:type="dxa"/>
        <w:tblLayout w:type="fixed"/>
        <w:tblCellMar>
          <w:top w:w="0" w:type="dxa"/>
          <w:left w:w="0" w:type="dxa"/>
          <w:bottom w:w="28" w:type="dxa"/>
          <w:right w:w="0" w:type="dxa"/>
        </w:tblCellMar>
      </w:tblPr>
      <w:tblGrid>
        <w:gridCol w:w="5120"/>
        <w:gridCol w:w="60"/>
        <w:gridCol w:w="150"/>
        <w:gridCol w:w="410"/>
        <w:gridCol w:w="60"/>
        <w:gridCol w:w="60"/>
        <w:gridCol w:w="263"/>
        <w:gridCol w:w="491"/>
        <w:gridCol w:w="60"/>
        <w:gridCol w:w="60"/>
        <w:gridCol w:w="263"/>
        <w:gridCol w:w="491"/>
        <w:gridCol w:w="60"/>
        <w:gridCol w:w="60"/>
        <w:gridCol w:w="202"/>
        <w:gridCol w:w="552"/>
        <w:gridCol w:w="75"/>
      </w:tblGrid>
      <w:tr>
        <w:trPr/>
        <w:tc>
          <w:tcPr>
            <w:tcW w:w="512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bookmarkStart w:id="573" w:name="xdx_49C_20251231__us-gaap--FairValueByMe"/>
            <w:bookmarkEnd w:id="573"/>
          </w:p>
        </w:tc>
        <w:tc>
          <w:tcPr>
            <w:tcW w:w="560" w:type="dxa"/>
            <w:gridSpan w:val="2"/>
            <w:tcBorders>
              <w:bottom w:val="single" w:sz="8"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74" w:name="xdx_498_20251231__us-gaap--FairValueByFa"/>
            <w:bookmarkEnd w:id="574"/>
          </w:p>
        </w:tc>
        <w:tc>
          <w:tcPr>
            <w:tcW w:w="754" w:type="dxa"/>
            <w:gridSpan w:val="2"/>
            <w:tcBorders>
              <w:bottom w:val="single" w:sz="8" w:space="0" w:color="000000"/>
            </w:tcBorders>
            <w:vAlign w:val="center"/>
          </w:tcPr>
          <w:p>
            <w:pPr>
              <w:pStyle w:val="TableContents"/>
              <w:bidi w:val="0"/>
              <w:spacing w:before="0" w:after="283"/>
              <w:jc w:val="center"/>
              <w:rPr>
                <w:b/>
              </w:rPr>
            </w:pPr>
            <w:r>
              <w:rPr>
                <w:b/>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75" w:name="xdx_495_20251231__us-gaap--FairValueByFa"/>
            <w:bookmarkEnd w:id="575"/>
          </w:p>
        </w:tc>
        <w:tc>
          <w:tcPr>
            <w:tcW w:w="754" w:type="dxa"/>
            <w:gridSpan w:val="2"/>
            <w:tcBorders>
              <w:bottom w:val="single" w:sz="8" w:space="0" w:color="000000"/>
            </w:tcBorders>
            <w:vAlign w:val="center"/>
          </w:tcPr>
          <w:p>
            <w:pPr>
              <w:pStyle w:val="TableContents"/>
              <w:bidi w:val="0"/>
              <w:spacing w:before="0" w:after="283"/>
              <w:jc w:val="center"/>
              <w:rPr>
                <w:b/>
              </w:rPr>
            </w:pPr>
            <w:r>
              <w:rPr>
                <w:b/>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76" w:name="xdx_492_20251231__us-gaap--FairValueByFa"/>
            <w:bookmarkEnd w:id="576"/>
          </w:p>
        </w:tc>
        <w:tc>
          <w:tcPr>
            <w:tcW w:w="754" w:type="dxa"/>
            <w:gridSpan w:val="2"/>
            <w:tcBorders>
              <w:bottom w:val="single" w:sz="8" w:space="0" w:color="000000"/>
            </w:tcBorders>
            <w:vAlign w:val="center"/>
          </w:tcPr>
          <w:p>
            <w:pPr>
              <w:pStyle w:val="TableContents"/>
              <w:bidi w:val="0"/>
              <w:spacing w:before="0" w:after="283"/>
              <w:jc w:val="center"/>
              <w:rPr>
                <w:b/>
              </w:rPr>
            </w:pPr>
            <w:r>
              <w:rPr>
                <w:b/>
              </w:rPr>
              <w:t>Level 3</w:t>
            </w:r>
          </w:p>
        </w:tc>
        <w:tc>
          <w:tcPr>
            <w:tcW w:w="75" w:type="dxa"/>
            <w:tcBorders/>
            <w:tcMar>
              <w:bottom w:w="0" w:type="dxa"/>
            </w:tcMar>
            <w:vAlign w:val="center"/>
          </w:tcPr>
          <w:p>
            <w:pPr>
              <w:pStyle w:val="TableContents"/>
              <w:bidi w:val="0"/>
              <w:spacing w:before="0" w:after="283"/>
              <w:jc w:val="left"/>
              <w:rPr/>
            </w:pPr>
            <w:r>
              <w:rPr/>
              <w:t> </w:t>
            </w:r>
          </w:p>
        </w:tc>
      </w:tr>
      <w:tr>
        <w:trPr/>
        <w:tc>
          <w:tcPr>
            <w:tcW w:w="5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82" w:type="dxa"/>
            <w:gridSpan w:val="14"/>
            <w:tcBorders>
              <w:bottom w:val="single" w:sz="8" w:space="0" w:color="000000"/>
            </w:tcBorders>
            <w:vAlign w:val="center"/>
          </w:tcPr>
          <w:p>
            <w:pPr>
              <w:pStyle w:val="TableContents"/>
              <w:bidi w:val="0"/>
              <w:spacing w:before="0" w:after="283"/>
              <w:jc w:val="center"/>
              <w:rPr>
                <w:b/>
              </w:rPr>
            </w:pPr>
            <w:r>
              <w:rPr>
                <w:b/>
              </w:rPr>
              <w:t>December 31, 2025</w:t>
            </w:r>
          </w:p>
        </w:tc>
        <w:tc>
          <w:tcPr>
            <w:tcW w:w="75" w:type="dxa"/>
            <w:tcBorders/>
            <w:tcMar>
              <w:bottom w:w="0" w:type="dxa"/>
            </w:tcMar>
            <w:vAlign w:val="center"/>
          </w:tcPr>
          <w:p>
            <w:pPr>
              <w:pStyle w:val="TableContents"/>
              <w:bidi w:val="0"/>
              <w:spacing w:before="0" w:after="283"/>
              <w:jc w:val="left"/>
              <w:rPr/>
            </w:pPr>
            <w:r>
              <w:rPr/>
              <w:t> </w:t>
            </w:r>
          </w:p>
        </w:tc>
      </w:tr>
      <w:tr>
        <w:trPr/>
        <w:tc>
          <w:tcPr>
            <w:tcW w:w="512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b/>
              </w:rPr>
            </w:pPr>
            <w:r>
              <w:rPr>
                <w:b/>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b/>
              </w:rPr>
            </w:pPr>
            <w:r>
              <w:rPr>
                <w:b/>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b/>
              </w:rPr>
            </w:pPr>
            <w:r>
              <w:rPr>
                <w:b/>
              </w:rPr>
              <w:t>Level 3</w:t>
            </w:r>
          </w:p>
        </w:tc>
        <w:tc>
          <w:tcPr>
            <w:tcW w:w="75" w:type="dxa"/>
            <w:tcBorders/>
            <w:tcMar>
              <w:bottom w:w="0" w:type="dxa"/>
            </w:tcMar>
            <w:vAlign w:val="center"/>
          </w:tcPr>
          <w:p>
            <w:pPr>
              <w:pStyle w:val="TableContents"/>
              <w:bidi w:val="0"/>
              <w:spacing w:before="0" w:after="283"/>
              <w:jc w:val="left"/>
              <w:rPr/>
            </w:pPr>
            <w:r>
              <w:rPr/>
              <w:t> </w:t>
            </w:r>
          </w:p>
        </w:tc>
      </w:tr>
      <w:tr>
        <w:trPr/>
        <w:tc>
          <w:tcPr>
            <w:tcW w:w="5120" w:type="dxa"/>
            <w:tcBorders/>
            <w:shd w:fill="CCEEFF" w:val="clear"/>
            <w:tcMar>
              <w:bottom w:w="0" w:type="dxa"/>
            </w:tcMar>
            <w:vAlign w:val="center"/>
          </w:tcPr>
          <w:p>
            <w:pPr>
              <w:pStyle w:val="TableContents"/>
              <w:bidi w:val="0"/>
              <w:spacing w:before="0" w:after="283"/>
              <w:jc w:val="left"/>
              <w:rPr>
                <w:b/>
              </w:rPr>
            </w:pPr>
            <w:r>
              <w:rPr>
                <w:b/>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41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55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577" w:name="xdx_409_eus-gaap--FinancialLiabilitiesFa"/>
            <w:bookmarkEnd w:id="577"/>
          </w:p>
        </w:tc>
      </w:tr>
      <w:tr>
        <w:trPr/>
        <w:tc>
          <w:tcPr>
            <w:tcW w:w="5120" w:type="dxa"/>
            <w:tcBorders/>
            <w:shd w:fill="FFFFFF" w:val="clear"/>
            <w:tcMar>
              <w:bottom w:w="0" w:type="dxa"/>
            </w:tcMar>
            <w:vAlign w:val="center"/>
          </w:tcPr>
          <w:p>
            <w:pPr>
              <w:pStyle w:val="TableContents"/>
              <w:bidi w:val="0"/>
              <w:spacing w:before="0" w:after="283"/>
              <w:jc w:val="left"/>
              <w:rPr/>
            </w:pPr>
            <w:r>
              <w:rPr/>
              <w:t>Warrant liability - April 2023 Peak Bio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w:t>
            </w:r>
          </w:p>
        </w:tc>
        <w:tc>
          <w:tcPr>
            <w:tcW w:w="410" w:type="dxa"/>
            <w:tcBorders/>
            <w:shd w:fill="FFFFFF" w:val="clear"/>
            <w:tcMar>
              <w:bottom w:w="0" w:type="dxa"/>
            </w:tcMar>
            <w:vAlign w:val="center"/>
          </w:tcPr>
          <w:p>
            <w:pPr>
              <w:pStyle w:val="TableContents"/>
              <w:bidi w:val="0"/>
              <w:spacing w:before="0" w:after="283"/>
              <w:jc w:val="right"/>
              <w:rPr/>
            </w:pPr>
            <w:r>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w:t>
            </w:r>
          </w:p>
        </w:tc>
        <w:tc>
          <w:tcPr>
            <w:tcW w:w="4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w:t>
            </w:r>
          </w:p>
        </w:tc>
        <w:tc>
          <w:tcPr>
            <w:tcW w:w="4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w:t>
            </w:r>
          </w:p>
        </w:tc>
        <w:tc>
          <w:tcPr>
            <w:tcW w:w="552" w:type="dxa"/>
            <w:tcBorders/>
            <w:shd w:fill="FFFFFF" w:val="clear"/>
            <w:tcMar>
              <w:bottom w:w="0" w:type="dxa"/>
            </w:tcMar>
            <w:vAlign w:val="center"/>
          </w:tcPr>
          <w:p>
            <w:pPr>
              <w:pStyle w:val="TableContents"/>
              <w:bidi w:val="0"/>
              <w:spacing w:before="0" w:after="283"/>
              <w:jc w:val="right"/>
              <w:rPr/>
            </w:pPr>
            <w:r>
              <w:rPr/>
              <w:t>51</w:t>
            </w:r>
          </w:p>
        </w:tc>
        <w:tc>
          <w:tcPr>
            <w:tcW w:w="75" w:type="dxa"/>
            <w:tcBorders/>
            <w:shd w:fill="FFFFFF" w:val="clear"/>
            <w:tcMar>
              <w:bottom w:w="0" w:type="dxa"/>
            </w:tcMar>
            <w:vAlign w:val="center"/>
          </w:tcPr>
          <w:p>
            <w:pPr>
              <w:pStyle w:val="TableContents"/>
              <w:bidi w:val="0"/>
              <w:spacing w:before="0" w:after="283"/>
              <w:jc w:val="left"/>
              <w:rPr/>
            </w:pPr>
            <w:r>
              <w:rPr/>
              <w:t> </w:t>
            </w:r>
            <w:bookmarkStart w:id="578" w:name="xdx_40F_eus-gaap--FinancialLiabilitiesFa"/>
            <w:bookmarkEnd w:id="578"/>
          </w:p>
        </w:tc>
      </w:tr>
      <w:tr>
        <w:trPr/>
        <w:tc>
          <w:tcPr>
            <w:tcW w:w="5120" w:type="dxa"/>
            <w:tcBorders/>
            <w:shd w:fill="CCEEFF" w:val="clear"/>
            <w:tcMar>
              <w:bottom w:w="0" w:type="dxa"/>
            </w:tcMar>
            <w:vAlign w:val="center"/>
          </w:tcPr>
          <w:p>
            <w:pPr>
              <w:pStyle w:val="TableContents"/>
              <w:bidi w:val="0"/>
              <w:spacing w:before="0" w:after="283"/>
              <w:jc w:val="left"/>
              <w:rPr/>
            </w:pPr>
            <w:r>
              <w:rPr/>
              <w:t>Warrant liability – September 2022 Series B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410" w:type="dxa"/>
            <w:tcBorders/>
            <w:shd w:fill="CCEEFF" w:val="clear"/>
            <w:tcMar>
              <w:bottom w:w="0" w:type="dxa"/>
            </w:tcMar>
            <w:vAlign w:val="center"/>
          </w:tcPr>
          <w:p>
            <w:pPr>
              <w:pStyle w:val="TableContents"/>
              <w:bidi w:val="0"/>
              <w:spacing w:before="0" w:after="283"/>
              <w:jc w:val="righ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552" w:type="dxa"/>
            <w:tcBorders/>
            <w:shd w:fill="CCEEFF" w:val="clear"/>
            <w:tcMar>
              <w:bottom w:w="0" w:type="dxa"/>
            </w:tcMar>
            <w:vAlign w:val="center"/>
          </w:tcPr>
          <w:p>
            <w:pPr>
              <w:pStyle w:val="TableContents"/>
              <w:bidi w:val="0"/>
              <w:spacing w:before="0" w:after="283"/>
              <w:jc w:val="right"/>
              <w:rPr/>
            </w:pPr>
            <w:r>
              <w:rPr/>
              <w:t>10</w:t>
            </w:r>
          </w:p>
        </w:tc>
        <w:tc>
          <w:tcPr>
            <w:tcW w:w="75" w:type="dxa"/>
            <w:tcBorders/>
            <w:shd w:fill="CCEEFF" w:val="clear"/>
            <w:tcMar>
              <w:bottom w:w="0" w:type="dxa"/>
            </w:tcMar>
            <w:vAlign w:val="center"/>
          </w:tcPr>
          <w:p>
            <w:pPr>
              <w:pStyle w:val="TableContents"/>
              <w:bidi w:val="0"/>
              <w:spacing w:before="0" w:after="283"/>
              <w:jc w:val="left"/>
              <w:rPr/>
            </w:pPr>
            <w:r>
              <w:rPr/>
              <w:t> </w:t>
            </w:r>
            <w:bookmarkStart w:id="579" w:name="xdx_401_eus-gaap--DerivativeLiabilitiesN"/>
            <w:bookmarkEnd w:id="579"/>
          </w:p>
        </w:tc>
      </w:tr>
      <w:tr>
        <w:trPr/>
        <w:tc>
          <w:tcPr>
            <w:tcW w:w="5120" w:type="dxa"/>
            <w:tcBorders/>
            <w:shd w:fill="FFFFFF" w:val="clear"/>
            <w:tcMar>
              <w:bottom w:w="0" w:type="dxa"/>
            </w:tcMar>
            <w:vAlign w:val="center"/>
          </w:tcPr>
          <w:p>
            <w:pPr>
              <w:pStyle w:val="TableContents"/>
              <w:bidi w:val="0"/>
              <w:spacing w:before="0" w:after="283"/>
              <w:jc w:val="left"/>
              <w:rPr/>
            </w:pPr>
            <w:r>
              <w:rPr/>
              <w:t>Derivative liability - ELOC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vAlign w:val="center"/>
          </w:tcPr>
          <w:p>
            <w:pPr>
              <w:pStyle w:val="TableContents"/>
              <w:bidi w:val="0"/>
              <w:spacing w:before="0" w:after="283"/>
              <w:jc w:val="left"/>
              <w:rPr/>
            </w:pPr>
            <w:r>
              <w:rPr/>
              <w:t> </w:t>
            </w:r>
          </w:p>
        </w:tc>
        <w:tc>
          <w:tcPr>
            <w:tcW w:w="410" w:type="dxa"/>
            <w:tcBorders>
              <w:bottom w:val="double" w:sz="6" w:space="0" w:color="000000"/>
            </w:tcBorders>
            <w:shd w:fill="FFFFFF" w:val="clear"/>
            <w:vAlign w:val="center"/>
          </w:tcPr>
          <w:p>
            <w:pPr>
              <w:pStyle w:val="TableContents"/>
              <w:bidi w:val="0"/>
              <w:spacing w:before="0" w:after="283"/>
              <w:jc w:val="right"/>
              <w:rPr/>
            </w:pPr>
            <w:r>
              <w:rPr/>
              <w:t>230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vAlign w:val="center"/>
          </w:tcPr>
          <w:p>
            <w:pPr>
              <w:pStyle w:val="TableContents"/>
              <w:bidi w:val="0"/>
              <w:spacing w:before="0" w:after="283"/>
              <w:jc w:val="left"/>
              <w:rPr/>
            </w:pPr>
            <w:r>
              <w:rPr/>
              <w:t> </w:t>
            </w:r>
          </w:p>
        </w:tc>
        <w:tc>
          <w:tcPr>
            <w:tcW w:w="491" w:type="dxa"/>
            <w:tcBorders>
              <w:bottom w:val="double" w:sz="6"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vAlign w:val="center"/>
          </w:tcPr>
          <w:p>
            <w:pPr>
              <w:pStyle w:val="TableContents"/>
              <w:bidi w:val="0"/>
              <w:spacing w:before="0" w:after="283"/>
              <w:jc w:val="left"/>
              <w:rPr/>
            </w:pPr>
            <w:r>
              <w:rPr/>
              <w:t> </w:t>
            </w:r>
          </w:p>
        </w:tc>
        <w:tc>
          <w:tcPr>
            <w:tcW w:w="491" w:type="dxa"/>
            <w:tcBorders>
              <w:bottom w:val="double" w:sz="6"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vAlign w:val="center"/>
          </w:tcPr>
          <w:p>
            <w:pPr>
              <w:pStyle w:val="TableContents"/>
              <w:bidi w:val="0"/>
              <w:spacing w:before="0" w:after="283"/>
              <w:jc w:val="left"/>
              <w:rPr/>
            </w:pPr>
            <w:r>
              <w:rPr/>
              <w:t> </w:t>
            </w:r>
          </w:p>
        </w:tc>
        <w:tc>
          <w:tcPr>
            <w:tcW w:w="552" w:type="dxa"/>
            <w:tcBorders>
              <w:bottom w:val="double" w:sz="6" w:space="0" w:color="000000"/>
            </w:tcBorders>
            <w:shd w:fill="FFFFFF" w:val="clear"/>
            <w:vAlign w:val="center"/>
          </w:tcPr>
          <w:p>
            <w:pPr>
              <w:pStyle w:val="TableContents"/>
              <w:bidi w:val="0"/>
              <w:spacing w:before="0" w:after="283"/>
              <w:jc w:val="right"/>
              <w:rPr/>
            </w:pPr>
            <w:r>
              <w:rPr/>
              <w:t>230</w:t>
            </w:r>
          </w:p>
        </w:tc>
        <w:tc>
          <w:tcPr>
            <w:tcW w:w="75" w:type="dxa"/>
            <w:tcBorders/>
            <w:shd w:fill="FFFFFF" w:val="clear"/>
            <w:tcMar>
              <w:bottom w:w="0" w:type="dxa"/>
            </w:tcMar>
            <w:vAlign w:val="center"/>
          </w:tcPr>
          <w:p>
            <w:pPr>
              <w:pStyle w:val="TableContents"/>
              <w:bidi w:val="0"/>
              <w:spacing w:before="0" w:after="283"/>
              <w:jc w:val="left"/>
              <w:rPr/>
            </w:pPr>
            <w:r>
              <w:rPr/>
              <w:t> </w:t>
            </w:r>
            <w:bookmarkStart w:id="580" w:name="xdx_400_eus-gaap--FinancialLiabilitiesFa"/>
            <w:bookmarkEnd w:id="580"/>
          </w:p>
        </w:tc>
      </w:tr>
      <w:tr>
        <w:trPr/>
        <w:tc>
          <w:tcPr>
            <w:tcW w:w="5120" w:type="dxa"/>
            <w:tcBorders/>
            <w:shd w:fill="CCEEFF" w:val="clear"/>
            <w:tcMar>
              <w:bottom w:w="0" w:type="dxa"/>
            </w:tcMar>
            <w:vAlign w:val="center"/>
          </w:tcPr>
          <w:p>
            <w:pPr>
              <w:pStyle w:val="TableContents"/>
              <w:bidi w:val="0"/>
              <w:spacing w:before="0" w:after="283"/>
              <w:jc w:val="left"/>
              <w:rPr/>
            </w:pPr>
            <w:r>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CCEEFF" w:val="clear"/>
            <w:vAlign w:val="center"/>
          </w:tcPr>
          <w:p>
            <w:pPr>
              <w:pStyle w:val="TableContents"/>
              <w:bidi w:val="0"/>
              <w:spacing w:before="0" w:after="283"/>
              <w:jc w:val="left"/>
              <w:rPr/>
            </w:pPr>
            <w:r>
              <w:rPr/>
              <w:t>$</w:t>
            </w:r>
          </w:p>
        </w:tc>
        <w:tc>
          <w:tcPr>
            <w:tcW w:w="410" w:type="dxa"/>
            <w:tcBorders>
              <w:bottom w:val="double" w:sz="6" w:space="0" w:color="000000"/>
            </w:tcBorders>
            <w:shd w:fill="CCEEFF" w:val="clear"/>
            <w:vAlign w:val="center"/>
          </w:tcPr>
          <w:p>
            <w:pPr>
              <w:pStyle w:val="TableContents"/>
              <w:bidi w:val="0"/>
              <w:spacing w:before="0" w:after="283"/>
              <w:jc w:val="right"/>
              <w:rPr/>
            </w:pPr>
            <w:r>
              <w:rPr/>
              <w:t>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CCEEFF" w:val="clear"/>
            <w:vAlign w:val="center"/>
          </w:tcPr>
          <w:p>
            <w:pPr>
              <w:pStyle w:val="TableContents"/>
              <w:bidi w:val="0"/>
              <w:spacing w:before="0" w:after="283"/>
              <w:jc w:val="left"/>
              <w:rPr/>
            </w:pPr>
            <w:r>
              <w:rPr/>
              <w:t>$</w:t>
            </w:r>
          </w:p>
        </w:tc>
        <w:tc>
          <w:tcPr>
            <w:tcW w:w="491"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CCEEFF" w:val="clear"/>
            <w:vAlign w:val="center"/>
          </w:tcPr>
          <w:p>
            <w:pPr>
              <w:pStyle w:val="TableContents"/>
              <w:bidi w:val="0"/>
              <w:spacing w:before="0" w:after="283"/>
              <w:jc w:val="left"/>
              <w:rPr/>
            </w:pPr>
            <w:r>
              <w:rPr/>
              <w:t>$</w:t>
            </w:r>
          </w:p>
        </w:tc>
        <w:tc>
          <w:tcPr>
            <w:tcW w:w="491"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double" w:sz="6" w:space="0" w:color="000000"/>
            </w:tcBorders>
            <w:shd w:fill="CCEEFF" w:val="clear"/>
            <w:vAlign w:val="center"/>
          </w:tcPr>
          <w:p>
            <w:pPr>
              <w:pStyle w:val="TableContents"/>
              <w:bidi w:val="0"/>
              <w:spacing w:before="0" w:after="283"/>
              <w:jc w:val="left"/>
              <w:rPr/>
            </w:pPr>
            <w:r>
              <w:rPr/>
              <w:t>$</w:t>
            </w:r>
          </w:p>
        </w:tc>
        <w:tc>
          <w:tcPr>
            <w:tcW w:w="552" w:type="dxa"/>
            <w:tcBorders>
              <w:bottom w:val="double" w:sz="6" w:space="0" w:color="000000"/>
            </w:tcBorders>
            <w:shd w:fill="CCEEFF" w:val="clear"/>
            <w:vAlign w:val="center"/>
          </w:tcPr>
          <w:p>
            <w:pPr>
              <w:pStyle w:val="TableContents"/>
              <w:bidi w:val="0"/>
              <w:spacing w:before="0" w:after="283"/>
              <w:jc w:val="right"/>
              <w:rPr/>
            </w:pPr>
            <w:r>
              <w:rPr/>
              <w:t>291</w:t>
            </w:r>
          </w:p>
        </w:tc>
        <w:tc>
          <w:tcPr>
            <w:tcW w:w="75" w:type="dxa"/>
            <w:tcBorders/>
            <w:shd w:fill="CCEEFF" w:val="clear"/>
            <w:tcMar>
              <w:bottom w:w="0" w:type="dxa"/>
            </w:tcMar>
            <w:vAlign w:val="center"/>
          </w:tcPr>
          <w:p>
            <w:pPr>
              <w:pStyle w:val="TableContents"/>
              <w:bidi w:val="0"/>
              <w:spacing w:before="0" w:after="283"/>
              <w:jc w:val="left"/>
              <w:rPr/>
            </w:pPr>
            <w:r>
              <w:rPr/>
              <w:t> </w:t>
            </w:r>
            <w:bookmarkStart w:id="581" w:name="xdx_40B_eus-gaap--FinancialLiabilitiesFa"/>
            <w:bookmarkEnd w:id="581"/>
          </w:p>
        </w:tc>
      </w:tr>
      <w:tr>
        <w:trPr/>
        <w:tc>
          <w:tcPr>
            <w:tcW w:w="5120" w:type="dxa"/>
            <w:tcBorders/>
            <w:shd w:fill="CCEEFF" w:val="clear"/>
            <w:tcMar>
              <w:bottom w:w="0" w:type="dxa"/>
            </w:tcMar>
            <w:vAlign w:val="center"/>
          </w:tcPr>
          <w:p>
            <w:pPr>
              <w:pStyle w:val="TableContents"/>
              <w:bidi w:val="0"/>
              <w:spacing w:before="0" w:after="283"/>
              <w:jc w:val="left"/>
              <w:rPr/>
            </w:pPr>
            <w:r>
              <w:rPr/>
              <w:t>Derivative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CCEEFF" w:val="clear"/>
            <w:vAlign w:val="center"/>
          </w:tcPr>
          <w:p>
            <w:pPr>
              <w:pStyle w:val="TableContents"/>
              <w:bidi w:val="0"/>
              <w:spacing w:before="0" w:after="283"/>
              <w:jc w:val="left"/>
              <w:rPr/>
            </w:pPr>
            <w:r>
              <w:rPr/>
              <w:t>$</w:t>
            </w:r>
          </w:p>
        </w:tc>
        <w:tc>
          <w:tcPr>
            <w:tcW w:w="410" w:type="dxa"/>
            <w:tcBorders>
              <w:bottom w:val="double" w:sz="6" w:space="0" w:color="000000"/>
            </w:tcBorders>
            <w:shd w:fill="CCEEFF" w:val="clear"/>
            <w:vAlign w:val="center"/>
          </w:tcPr>
          <w:p>
            <w:pPr>
              <w:pStyle w:val="TableContents"/>
              <w:bidi w:val="0"/>
              <w:spacing w:before="0" w:after="283"/>
              <w:jc w:val="right"/>
              <w:rPr/>
            </w:pPr>
            <w:r>
              <w:rPr/>
              <w:t>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CCEEFF" w:val="clear"/>
            <w:vAlign w:val="center"/>
          </w:tcPr>
          <w:p>
            <w:pPr>
              <w:pStyle w:val="TableContents"/>
              <w:bidi w:val="0"/>
              <w:spacing w:before="0" w:after="283"/>
              <w:jc w:val="left"/>
              <w:rPr/>
            </w:pPr>
            <w:r>
              <w:rPr/>
              <w:t>$</w:t>
            </w:r>
          </w:p>
        </w:tc>
        <w:tc>
          <w:tcPr>
            <w:tcW w:w="491"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CCEEFF" w:val="clear"/>
            <w:vAlign w:val="center"/>
          </w:tcPr>
          <w:p>
            <w:pPr>
              <w:pStyle w:val="TableContents"/>
              <w:bidi w:val="0"/>
              <w:spacing w:before="0" w:after="283"/>
              <w:jc w:val="left"/>
              <w:rPr/>
            </w:pPr>
            <w:r>
              <w:rPr/>
              <w:t>$</w:t>
            </w:r>
          </w:p>
        </w:tc>
        <w:tc>
          <w:tcPr>
            <w:tcW w:w="491"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double" w:sz="6" w:space="0" w:color="000000"/>
            </w:tcBorders>
            <w:shd w:fill="CCEEFF" w:val="clear"/>
            <w:vAlign w:val="center"/>
          </w:tcPr>
          <w:p>
            <w:pPr>
              <w:pStyle w:val="TableContents"/>
              <w:bidi w:val="0"/>
              <w:spacing w:before="0" w:after="283"/>
              <w:jc w:val="left"/>
              <w:rPr/>
            </w:pPr>
            <w:r>
              <w:rPr/>
              <w:t>$</w:t>
            </w:r>
          </w:p>
        </w:tc>
        <w:tc>
          <w:tcPr>
            <w:tcW w:w="552" w:type="dxa"/>
            <w:tcBorders>
              <w:bottom w:val="double" w:sz="6" w:space="0" w:color="000000"/>
            </w:tcBorders>
            <w:shd w:fill="CCEEFF" w:val="clear"/>
            <w:vAlign w:val="center"/>
          </w:tcPr>
          <w:p>
            <w:pPr>
              <w:pStyle w:val="TableContents"/>
              <w:bidi w:val="0"/>
              <w:spacing w:before="0" w:after="283"/>
              <w:jc w:val="right"/>
              <w:rPr/>
            </w:pPr>
            <w:r>
              <w:rPr/>
              <w:t>291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2" w:name="xdx_8AC_zBymgy6z8PMl"/>
      <w:bookmarkEnd w:id="58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Level 3 liabilities consist of the September 2022 Warrants, the November 2022 Peak Bio Warrants and the April 2023 Peak Bio Warrants, which were determined to be liability-classified instruments, and a derivative liability related to the ELOC Purchase Agreement (described in Note 6). There were no transfers between Level 1, Level 2, and Level 3 during the three and six months ended June 30, 2026, and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Level 3 Liabilities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3" w:name="xdx_896_eus-gaap--FairValueLiabilitiesMe"/>
      <w:bookmarkEnd w:id="583"/>
      <w:r>
        <w:rPr>
          <w:rFonts w:ascii="Times New Roman;Times;Serif" w:hAnsi="Times New Roman;Times;Serif"/>
          <w:b w:val="false"/>
          <w:i w:val="false"/>
          <w:caps w:val="false"/>
          <w:smallCaps w:val="false"/>
          <w:sz w:val="20"/>
        </w:rPr>
        <w:t>The following table summarizes the activity in the warrant liabilities measured at fair value on a recurring basis using unobservable inputs (Level 3) during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4" w:name="xdx_8B7_zTCtPBJk7ou1"/>
      <w:bookmarkEnd w:id="584"/>
      <w:r>
        <w:rPr>
          <w:rFonts w:ascii="Times New Roman;Times;Serif" w:hAnsi="Times New Roman;Times;Serif"/>
          <w:b w:val="false"/>
          <w:i w:val="false"/>
          <w:caps w:val="false"/>
          <w:smallCaps w:val="false"/>
          <w:sz w:val="20"/>
        </w:rPr>
        <w:t>Schedule of Fair value on Recurring Basis using Unobservable Inputs</w:t>
      </w:r>
    </w:p>
    <w:tbl>
      <w:tblPr>
        <w:tblW w:w="9790" w:type="dxa"/>
        <w:jc w:val="left"/>
        <w:tblInd w:w="0" w:type="dxa"/>
        <w:tblLayout w:type="fixed"/>
        <w:tblCellMar>
          <w:top w:w="0" w:type="dxa"/>
          <w:left w:w="0" w:type="dxa"/>
          <w:bottom w:w="28" w:type="dxa"/>
          <w:right w:w="0" w:type="dxa"/>
        </w:tblCellMar>
      </w:tblPr>
      <w:tblGrid>
        <w:gridCol w:w="2975"/>
        <w:gridCol w:w="60"/>
        <w:gridCol w:w="247"/>
        <w:gridCol w:w="673"/>
        <w:gridCol w:w="95"/>
        <w:gridCol w:w="60"/>
        <w:gridCol w:w="266"/>
        <w:gridCol w:w="639"/>
        <w:gridCol w:w="95"/>
        <w:gridCol w:w="60"/>
        <w:gridCol w:w="227"/>
        <w:gridCol w:w="618"/>
        <w:gridCol w:w="95"/>
        <w:gridCol w:w="60"/>
        <w:gridCol w:w="487"/>
        <w:gridCol w:w="1948"/>
        <w:gridCol w:w="95"/>
        <w:gridCol w:w="60"/>
        <w:gridCol w:w="216"/>
        <w:gridCol w:w="704"/>
        <w:gridCol w:w="110"/>
      </w:tblGrid>
      <w:tr>
        <w:trPr/>
        <w:tc>
          <w:tcPr>
            <w:tcW w:w="2975"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bookmarkStart w:id="585" w:name="xdx_4BC_us-gaap--ClassOfWarrantOrRightAx"/>
            <w:bookmarkEnd w:id="585"/>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86" w:name="xdx_4B5_us-gaap--ClassOfWarrantOrRightAx"/>
            <w:bookmarkEnd w:id="586"/>
          </w:p>
        </w:tc>
        <w:tc>
          <w:tcPr>
            <w:tcW w:w="90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87" w:name="xdx_4BD_us-gaap--ClassOfWarrantOrRightAx"/>
            <w:bookmarkEnd w:id="587"/>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88" w:name="xdx_4B2_us-gaap--ClassOfWarrantOrRightAx"/>
            <w:bookmarkEnd w:id="588"/>
          </w:p>
        </w:tc>
        <w:tc>
          <w:tcPr>
            <w:tcW w:w="2435" w:type="dxa"/>
            <w:gridSpan w:val="2"/>
            <w:tcBorders>
              <w:bottom w:val="single" w:sz="8" w:space="0" w:color="000000"/>
            </w:tcBorders>
            <w:vAlign w:val="center"/>
          </w:tcPr>
          <w:p>
            <w:pPr>
              <w:pStyle w:val="TableContents"/>
              <w:bidi w:val="0"/>
              <w:spacing w:before="0" w:after="283"/>
              <w:jc w:val="center"/>
              <w:rPr>
                <w:b/>
              </w:rPr>
            </w:pPr>
            <w:r>
              <w:rPr>
                <w:b/>
              </w:rPr>
              <w:t>Total Warrant 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89" w:name="xdx_4BA_us-gaap--ClassOfWarrantOrRightAx"/>
            <w:bookmarkEnd w:id="589"/>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110" w:type="dxa"/>
            <w:tcBorders/>
            <w:tcMar>
              <w:bottom w:w="0" w:type="dxa"/>
            </w:tcMar>
            <w:vAlign w:val="center"/>
          </w:tcPr>
          <w:p>
            <w:pPr>
              <w:pStyle w:val="TableContents"/>
              <w:bidi w:val="0"/>
              <w:spacing w:before="0" w:after="283"/>
              <w:jc w:val="left"/>
              <w:rPr/>
            </w:pPr>
            <w:r>
              <w:rPr/>
              <w:t> </w:t>
            </w:r>
          </w:p>
        </w:tc>
      </w:tr>
      <w:tr>
        <w:trPr/>
        <w:tc>
          <w:tcPr>
            <w:tcW w:w="29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70" w:type="dxa"/>
            <w:gridSpan w:val="14"/>
            <w:tcBorders>
              <w:bottom w:val="single" w:sz="8" w:space="0" w:color="000000"/>
            </w:tcBorders>
            <w:vAlign w:val="center"/>
          </w:tcPr>
          <w:p>
            <w:pPr>
              <w:pStyle w:val="TableContents"/>
              <w:bidi w:val="0"/>
              <w:spacing w:before="0" w:after="283"/>
              <w:jc w:val="center"/>
              <w:rPr>
                <w:b/>
              </w:rPr>
            </w:pPr>
            <w:r>
              <w:rPr>
                <w:b/>
              </w:rPr>
              <w:t>Warrant 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975"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35" w:type="dxa"/>
            <w:gridSpan w:val="2"/>
            <w:tcBorders>
              <w:bottom w:val="single" w:sz="8" w:space="0" w:color="000000"/>
            </w:tcBorders>
            <w:vAlign w:val="center"/>
          </w:tcPr>
          <w:p>
            <w:pPr>
              <w:pStyle w:val="TableContents"/>
              <w:bidi w:val="0"/>
              <w:spacing w:before="0" w:after="283"/>
              <w:jc w:val="center"/>
              <w:rPr>
                <w:b/>
              </w:rPr>
            </w:pPr>
            <w:r>
              <w:rPr>
                <w:b/>
              </w:rPr>
              <w:t>Total Warrant 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110" w:type="dxa"/>
            <w:tcBorders/>
            <w:tcMar>
              <w:bottom w:w="0" w:type="dxa"/>
            </w:tcMar>
            <w:vAlign w:val="center"/>
          </w:tcPr>
          <w:p>
            <w:pPr>
              <w:pStyle w:val="TableContents"/>
              <w:bidi w:val="0"/>
              <w:spacing w:before="0" w:after="283"/>
              <w:jc w:val="left"/>
              <w:rPr/>
            </w:pPr>
            <w:r>
              <w:rPr/>
              <w:t> </w:t>
            </w:r>
            <w:bookmarkStart w:id="590" w:name="xdx_438_c20250101__20250331_eus-gaap--Fa"/>
            <w:bookmarkEnd w:id="590"/>
          </w:p>
        </w:tc>
      </w:tr>
      <w:tr>
        <w:trPr/>
        <w:tc>
          <w:tcPr>
            <w:tcW w:w="2975" w:type="dxa"/>
            <w:tcBorders/>
            <w:shd w:fill="CCEEFF" w:val="clear"/>
            <w:tcMar>
              <w:bottom w:w="0" w:type="dxa"/>
            </w:tcMar>
            <w:vAlign w:val="center"/>
          </w:tcPr>
          <w:p>
            <w:pPr>
              <w:pStyle w:val="TableContents"/>
              <w:bidi w:val="0"/>
              <w:spacing w:before="0" w:after="283"/>
              <w:jc w:val="left"/>
              <w:rPr/>
            </w:pPr>
            <w:r>
              <w:rPr/>
              <w:t>Balance, December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673" w:type="dxa"/>
            <w:tcBorders/>
            <w:shd w:fill="CCEEFF" w:val="clear"/>
            <w:tcMar>
              <w:bottom w:w="0" w:type="dxa"/>
            </w:tcMar>
            <w:vAlign w:val="center"/>
          </w:tcPr>
          <w:p>
            <w:pPr>
              <w:pStyle w:val="TableContents"/>
              <w:bidi w:val="0"/>
              <w:spacing w:before="0" w:after="283"/>
              <w:jc w:val="right"/>
              <w:rPr/>
            </w:pPr>
            <w:r>
              <w:rPr/>
              <w:t>181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w:t>
            </w:r>
          </w:p>
        </w:tc>
        <w:tc>
          <w:tcPr>
            <w:tcW w:w="639" w:type="dxa"/>
            <w:tcBorders/>
            <w:shd w:fill="CCEEFF" w:val="clear"/>
            <w:tcMar>
              <w:bottom w:w="0" w:type="dxa"/>
            </w:tcMar>
            <w:vAlign w:val="center"/>
          </w:tcPr>
          <w:p>
            <w:pPr>
              <w:pStyle w:val="TableContents"/>
              <w:bidi w:val="0"/>
              <w:spacing w:before="0" w:after="283"/>
              <w:jc w:val="right"/>
              <w:rPr/>
            </w:pPr>
            <w:r>
              <w:rPr/>
              <w:t>95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618" w:type="dxa"/>
            <w:tcBorders/>
            <w:shd w:fill="CCEEFF" w:val="clear"/>
            <w:tcMar>
              <w:bottom w:w="0" w:type="dxa"/>
            </w:tcMar>
            <w:vAlign w:val="center"/>
          </w:tcPr>
          <w:p>
            <w:pPr>
              <w:pStyle w:val="TableContents"/>
              <w:bidi w:val="0"/>
              <w:spacing w:before="0" w:after="283"/>
              <w:jc w:val="right"/>
              <w:rPr/>
            </w:pPr>
            <w:r>
              <w:rPr/>
              <w:t>736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7" w:type="dxa"/>
            <w:tcBorders/>
            <w:shd w:fill="CCEEFF" w:val="clear"/>
            <w:tcMar>
              <w:bottom w:w="0" w:type="dxa"/>
            </w:tcMar>
            <w:vAlign w:val="center"/>
          </w:tcPr>
          <w:p>
            <w:pPr>
              <w:pStyle w:val="TableContents"/>
              <w:bidi w:val="0"/>
              <w:spacing w:before="0" w:after="283"/>
              <w:jc w:val="left"/>
              <w:rPr/>
            </w:pPr>
            <w:r>
              <w:rPr/>
              <w:t>$</w:t>
            </w:r>
          </w:p>
        </w:tc>
        <w:tc>
          <w:tcPr>
            <w:tcW w:w="1948" w:type="dxa"/>
            <w:tcBorders/>
            <w:shd w:fill="CCEEFF" w:val="clear"/>
            <w:tcMar>
              <w:bottom w:w="0" w:type="dxa"/>
            </w:tcMar>
            <w:vAlign w:val="center"/>
          </w:tcPr>
          <w:p>
            <w:pPr>
              <w:pStyle w:val="TableContents"/>
              <w:bidi w:val="0"/>
              <w:spacing w:before="0" w:after="283"/>
              <w:jc w:val="right"/>
              <w:rPr/>
            </w:pPr>
            <w:r>
              <w:rPr/>
              <w:t>1,012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704"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591" w:name="xdx_409_eus-gaap--FairValueMeasurementWi"/>
            <w:bookmarkEnd w:id="591"/>
          </w:p>
        </w:tc>
      </w:tr>
      <w:tr>
        <w:trPr/>
        <w:tc>
          <w:tcPr>
            <w:tcW w:w="2975" w:type="dxa"/>
            <w:tcBorders/>
            <w:shd w:fill="FFFFFF" w:val="clear"/>
            <w:tcMar>
              <w:bottom w:w="0" w:type="dxa"/>
            </w:tcMar>
            <w:vAlign w:val="center"/>
          </w:tcPr>
          <w:p>
            <w:pPr>
              <w:pStyle w:val="TableContents"/>
              <w:bidi w:val="0"/>
              <w:spacing w:before="0" w:after="283"/>
              <w:jc w:val="left"/>
              <w:rPr/>
            </w:pPr>
            <w:r>
              <w:rPr/>
              <w:t>Change in fair value of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single" w:sz="8" w:space="0" w:color="000000"/>
            </w:tcBorders>
            <w:shd w:fill="FFFFFF" w:val="clear"/>
            <w:vAlign w:val="center"/>
          </w:tcPr>
          <w:p>
            <w:pPr>
              <w:pStyle w:val="TableContents"/>
              <w:bidi w:val="0"/>
              <w:spacing w:before="0" w:after="283"/>
              <w:jc w:val="left"/>
              <w:rPr/>
            </w:pPr>
            <w:r>
              <w:rPr/>
              <w:t> </w:t>
            </w:r>
          </w:p>
        </w:tc>
        <w:tc>
          <w:tcPr>
            <w:tcW w:w="673" w:type="dxa"/>
            <w:tcBorders>
              <w:bottom w:val="single" w:sz="8" w:space="0" w:color="000000"/>
            </w:tcBorders>
            <w:shd w:fill="FFFFFF" w:val="clear"/>
            <w:vAlign w:val="center"/>
          </w:tcPr>
          <w:p>
            <w:pPr>
              <w:pStyle w:val="TableContents"/>
              <w:bidi w:val="0"/>
              <w:spacing w:before="0" w:after="283"/>
              <w:jc w:val="right"/>
              <w:rPr/>
            </w:pPr>
            <w:r>
              <w:rPr/>
              <w:t>30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bottom w:val="single" w:sz="8" w:space="0" w:color="000000"/>
            </w:tcBorders>
            <w:shd w:fill="FFFFFF" w:val="clear"/>
            <w:vAlign w:val="center"/>
          </w:tcPr>
          <w:p>
            <w:pPr>
              <w:pStyle w:val="TableContents"/>
              <w:bidi w:val="0"/>
              <w:spacing w:before="0" w:after="283"/>
              <w:jc w:val="left"/>
              <w:rPr/>
            </w:pPr>
            <w:r>
              <w:rPr/>
              <w:t> </w:t>
            </w:r>
          </w:p>
        </w:tc>
        <w:tc>
          <w:tcPr>
            <w:tcW w:w="639"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single" w:sz="8" w:space="0" w:color="000000"/>
            </w:tcBorders>
            <w:shd w:fill="FFFFFF" w:val="clear"/>
            <w:vAlign w:val="center"/>
          </w:tcPr>
          <w:p>
            <w:pPr>
              <w:pStyle w:val="TableContents"/>
              <w:bidi w:val="0"/>
              <w:spacing w:before="0" w:after="283"/>
              <w:jc w:val="left"/>
              <w:rPr/>
            </w:pPr>
            <w:r>
              <w:rPr/>
              <w:t> </w:t>
            </w:r>
          </w:p>
        </w:tc>
        <w:tc>
          <w:tcPr>
            <w:tcW w:w="618" w:type="dxa"/>
            <w:tcBorders>
              <w:bottom w:val="single" w:sz="8" w:space="0" w:color="000000"/>
            </w:tcBorders>
            <w:shd w:fill="FFFFFF" w:val="clear"/>
            <w:vAlign w:val="center"/>
          </w:tcPr>
          <w:p>
            <w:pPr>
              <w:pStyle w:val="TableContents"/>
              <w:bidi w:val="0"/>
              <w:spacing w:before="0" w:after="283"/>
              <w:jc w:val="right"/>
              <w:rPr/>
            </w:pPr>
            <w:r>
              <w:rPr/>
              <w:t>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7" w:type="dxa"/>
            <w:tcBorders>
              <w:bottom w:val="single" w:sz="8" w:space="0" w:color="000000"/>
            </w:tcBorders>
            <w:shd w:fill="FFFFFF" w:val="clear"/>
            <w:vAlign w:val="center"/>
          </w:tcPr>
          <w:p>
            <w:pPr>
              <w:pStyle w:val="TableContents"/>
              <w:bidi w:val="0"/>
              <w:spacing w:before="0" w:after="283"/>
              <w:jc w:val="left"/>
              <w:rPr/>
            </w:pPr>
            <w:r>
              <w:rPr/>
              <w:t> </w:t>
            </w:r>
          </w:p>
        </w:tc>
        <w:tc>
          <w:tcPr>
            <w:tcW w:w="1948" w:type="dxa"/>
            <w:tcBorders>
              <w:bottom w:val="single" w:sz="8" w:space="0" w:color="000000"/>
            </w:tcBorders>
            <w:shd w:fill="FFFFFF" w:val="clear"/>
            <w:vAlign w:val="center"/>
          </w:tcPr>
          <w:p>
            <w:pPr>
              <w:pStyle w:val="TableContents"/>
              <w:bidi w:val="0"/>
              <w:spacing w:before="0" w:after="283"/>
              <w:jc w:val="right"/>
              <w:rPr/>
            </w:pPr>
            <w:r>
              <w:rPr/>
              <w:t>54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bottom w:val="single" w:sz="8" w:space="0" w:color="000000"/>
            </w:tcBorders>
            <w:shd w:fill="FFFFFF" w:val="clear"/>
            <w:vAlign w:val="center"/>
          </w:tcPr>
          <w:p>
            <w:pPr>
              <w:pStyle w:val="TableContents"/>
              <w:bidi w:val="0"/>
              <w:spacing w:before="0" w:after="283"/>
              <w:jc w:val="left"/>
              <w:rPr/>
            </w:pPr>
            <w:r>
              <w:rPr/>
              <w:t> </w:t>
            </w:r>
          </w:p>
        </w:tc>
        <w:tc>
          <w:tcPr>
            <w:tcW w:w="704"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592" w:name="xdx_436_c20250401__20250630_eus-gaap--Fa"/>
            <w:bookmarkEnd w:id="592"/>
          </w:p>
        </w:tc>
      </w:tr>
      <w:tr>
        <w:trPr/>
        <w:tc>
          <w:tcPr>
            <w:tcW w:w="2975" w:type="dxa"/>
            <w:tcBorders/>
            <w:shd w:fill="CCEEFF" w:val="clear"/>
            <w:tcMar>
              <w:bottom w:w="0" w:type="dxa"/>
            </w:tcMar>
            <w:vAlign w:val="center"/>
          </w:tcPr>
          <w:p>
            <w:pPr>
              <w:pStyle w:val="TableContents"/>
              <w:bidi w:val="0"/>
              <w:spacing w:before="0" w:after="283"/>
              <w:jc w:val="left"/>
              <w:rPr/>
            </w:pPr>
            <w:r>
              <w:rPr/>
              <w:t>Balance, 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673" w:type="dxa"/>
            <w:tcBorders/>
            <w:shd w:fill="CCEEFF" w:val="clear"/>
            <w:tcMar>
              <w:bottom w:w="0" w:type="dxa"/>
            </w:tcMar>
            <w:vAlign w:val="center"/>
          </w:tcPr>
          <w:p>
            <w:pPr>
              <w:pStyle w:val="TableContents"/>
              <w:bidi w:val="0"/>
              <w:spacing w:before="0" w:after="283"/>
              <w:jc w:val="right"/>
              <w:rPr/>
            </w:pPr>
            <w:r>
              <w:rPr/>
              <w:t>211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w:t>
            </w:r>
          </w:p>
        </w:tc>
        <w:tc>
          <w:tcPr>
            <w:tcW w:w="639" w:type="dxa"/>
            <w:tcBorders/>
            <w:shd w:fill="CCEEFF" w:val="clear"/>
            <w:tcMar>
              <w:bottom w:w="0" w:type="dxa"/>
            </w:tcMar>
            <w:vAlign w:val="center"/>
          </w:tcPr>
          <w:p>
            <w:pPr>
              <w:pStyle w:val="TableContents"/>
              <w:bidi w:val="0"/>
              <w:spacing w:before="0" w:after="283"/>
              <w:jc w:val="right"/>
              <w:rPr/>
            </w:pPr>
            <w:r>
              <w:rPr/>
              <w:t>95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618" w:type="dxa"/>
            <w:tcBorders/>
            <w:shd w:fill="CCEEFF" w:val="clear"/>
            <w:tcMar>
              <w:bottom w:w="0" w:type="dxa"/>
            </w:tcMar>
            <w:vAlign w:val="center"/>
          </w:tcPr>
          <w:p>
            <w:pPr>
              <w:pStyle w:val="TableContents"/>
              <w:bidi w:val="0"/>
              <w:spacing w:before="0" w:after="283"/>
              <w:jc w:val="right"/>
              <w:rPr/>
            </w:pPr>
            <w:r>
              <w:rPr/>
              <w:t>760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7" w:type="dxa"/>
            <w:tcBorders/>
            <w:shd w:fill="CCEEFF" w:val="clear"/>
            <w:tcMar>
              <w:bottom w:w="0" w:type="dxa"/>
            </w:tcMar>
            <w:vAlign w:val="center"/>
          </w:tcPr>
          <w:p>
            <w:pPr>
              <w:pStyle w:val="TableContents"/>
              <w:bidi w:val="0"/>
              <w:spacing w:before="0" w:after="283"/>
              <w:jc w:val="left"/>
              <w:rPr/>
            </w:pPr>
            <w:r>
              <w:rPr/>
              <w:t>$</w:t>
            </w:r>
          </w:p>
        </w:tc>
        <w:tc>
          <w:tcPr>
            <w:tcW w:w="1948" w:type="dxa"/>
            <w:tcBorders/>
            <w:shd w:fill="CCEEFF" w:val="clear"/>
            <w:tcMar>
              <w:bottom w:w="0" w:type="dxa"/>
            </w:tcMar>
            <w:vAlign w:val="center"/>
          </w:tcPr>
          <w:p>
            <w:pPr>
              <w:pStyle w:val="TableContents"/>
              <w:bidi w:val="0"/>
              <w:spacing w:before="0" w:after="283"/>
              <w:jc w:val="right"/>
              <w:rPr/>
            </w:pPr>
            <w:r>
              <w:rPr/>
              <w:t>1,066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704"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593" w:name="xdx_404_ecustom--FairValueMeasurementWit"/>
            <w:bookmarkEnd w:id="593"/>
          </w:p>
        </w:tc>
      </w:tr>
      <w:tr>
        <w:trPr/>
        <w:tc>
          <w:tcPr>
            <w:tcW w:w="2975" w:type="dxa"/>
            <w:tcBorders/>
            <w:shd w:fill="FFFFFF" w:val="clear"/>
            <w:tcMar>
              <w:bottom w:w="0" w:type="dxa"/>
            </w:tcMar>
            <w:vAlign w:val="center"/>
          </w:tcPr>
          <w:p>
            <w:pPr>
              <w:pStyle w:val="TableContents"/>
              <w:bidi w:val="0"/>
              <w:spacing w:before="0" w:after="283"/>
              <w:jc w:val="left"/>
              <w:rPr/>
            </w:pPr>
            <w:r>
              <w:rPr/>
              <w:t>Extinguishment of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673" w:type="dxa"/>
            <w:tcBorders/>
            <w:shd w:fill="FFFFFF" w:val="clear"/>
            <w:tcMar>
              <w:bottom w:w="0" w:type="dxa"/>
            </w:tcMar>
            <w:vAlign w:val="center"/>
          </w:tcPr>
          <w:p>
            <w:pPr>
              <w:pStyle w:val="TableContents"/>
              <w:bidi w:val="0"/>
              <w:spacing w:before="0" w:after="283"/>
              <w:jc w:val="right"/>
              <w:rPr/>
            </w:pPr>
            <w:r>
              <w:rPr/>
              <w:t>(66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 </w:t>
            </w:r>
          </w:p>
        </w:tc>
        <w:tc>
          <w:tcPr>
            <w:tcW w:w="6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61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7" w:type="dxa"/>
            <w:tcBorders/>
            <w:shd w:fill="FFFFFF" w:val="clear"/>
            <w:tcMar>
              <w:bottom w:w="0" w:type="dxa"/>
            </w:tcMar>
            <w:vAlign w:val="center"/>
          </w:tcPr>
          <w:p>
            <w:pPr>
              <w:pStyle w:val="TableContents"/>
              <w:bidi w:val="0"/>
              <w:spacing w:before="0" w:after="283"/>
              <w:jc w:val="left"/>
              <w:rPr/>
            </w:pPr>
            <w:r>
              <w:rPr/>
              <w:t> </w:t>
            </w:r>
          </w:p>
        </w:tc>
        <w:tc>
          <w:tcPr>
            <w:tcW w:w="1948" w:type="dxa"/>
            <w:tcBorders/>
            <w:shd w:fill="FFFFFF" w:val="clear"/>
            <w:tcMar>
              <w:bottom w:w="0" w:type="dxa"/>
            </w:tcMar>
            <w:vAlign w:val="center"/>
          </w:tcPr>
          <w:p>
            <w:pPr>
              <w:pStyle w:val="TableContents"/>
              <w:bidi w:val="0"/>
              <w:spacing w:before="0" w:after="283"/>
              <w:jc w:val="right"/>
              <w:rPr/>
            </w:pPr>
            <w:r>
              <w:rPr/>
              <w:t>(66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594" w:name="xdx_409_eus-gaap--FairValueMeasurementWi"/>
            <w:bookmarkEnd w:id="594"/>
          </w:p>
        </w:tc>
      </w:tr>
      <w:tr>
        <w:trPr/>
        <w:tc>
          <w:tcPr>
            <w:tcW w:w="2975" w:type="dxa"/>
            <w:tcBorders/>
            <w:shd w:fill="CCEEFF" w:val="clear"/>
            <w:tcMar>
              <w:bottom w:w="0" w:type="dxa"/>
            </w:tcMar>
            <w:vAlign w:val="center"/>
          </w:tcPr>
          <w:p>
            <w:pPr>
              <w:pStyle w:val="TableContents"/>
              <w:bidi w:val="0"/>
              <w:spacing w:before="0" w:after="283"/>
              <w:jc w:val="left"/>
              <w:rPr/>
            </w:pPr>
            <w:r>
              <w:rPr/>
              <w:t>Change in fair value of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8" w:space="0" w:color="000000"/>
            </w:tcBorders>
            <w:shd w:fill="CCEEFF" w:val="clear"/>
            <w:vAlign w:val="center"/>
          </w:tcPr>
          <w:p>
            <w:pPr>
              <w:pStyle w:val="TableContents"/>
              <w:bidi w:val="0"/>
              <w:spacing w:before="0" w:after="283"/>
              <w:jc w:val="left"/>
              <w:rPr/>
            </w:pPr>
            <w:r>
              <w:rPr/>
              <w:t> </w:t>
            </w:r>
          </w:p>
        </w:tc>
        <w:tc>
          <w:tcPr>
            <w:tcW w:w="673" w:type="dxa"/>
            <w:tcBorders>
              <w:bottom w:val="single" w:sz="8" w:space="0" w:color="000000"/>
            </w:tcBorders>
            <w:shd w:fill="CCEEFF" w:val="clear"/>
            <w:vAlign w:val="center"/>
          </w:tcPr>
          <w:p>
            <w:pPr>
              <w:pStyle w:val="TableContents"/>
              <w:bidi w:val="0"/>
              <w:spacing w:before="0" w:after="283"/>
              <w:jc w:val="right"/>
              <w:rPr/>
            </w:pPr>
            <w:r>
              <w:rPr/>
              <w:t>(31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bottom w:val="single" w:sz="8" w:space="0" w:color="000000"/>
            </w:tcBorders>
            <w:shd w:fill="CCEEFF" w:val="clear"/>
            <w:vAlign w:val="center"/>
          </w:tcPr>
          <w:p>
            <w:pPr>
              <w:pStyle w:val="TableContents"/>
              <w:bidi w:val="0"/>
              <w:spacing w:before="0" w:after="283"/>
              <w:jc w:val="left"/>
              <w:rPr/>
            </w:pPr>
            <w:r>
              <w:rPr/>
              <w:t> </w:t>
            </w:r>
          </w:p>
        </w:tc>
        <w:tc>
          <w:tcPr>
            <w:tcW w:w="639" w:type="dxa"/>
            <w:tcBorders>
              <w:bottom w:val="single" w:sz="8" w:space="0" w:color="000000"/>
            </w:tcBorders>
            <w:shd w:fill="CCEEFF" w:val="clear"/>
            <w:vAlign w:val="center"/>
          </w:tcPr>
          <w:p>
            <w:pPr>
              <w:pStyle w:val="TableContents"/>
              <w:bidi w:val="0"/>
              <w:spacing w:before="0" w:after="283"/>
              <w:jc w:val="right"/>
              <w:rPr/>
            </w:pPr>
            <w:r>
              <w:rPr/>
              <w:t>(32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618" w:type="dxa"/>
            <w:tcBorders>
              <w:bottom w:val="single" w:sz="8" w:space="0" w:color="000000"/>
            </w:tcBorders>
            <w:shd w:fill="CCEEFF" w:val="clear"/>
            <w:vAlign w:val="center"/>
          </w:tcPr>
          <w:p>
            <w:pPr>
              <w:pStyle w:val="TableContents"/>
              <w:bidi w:val="0"/>
              <w:spacing w:before="0" w:after="283"/>
              <w:jc w:val="right"/>
              <w:rPr/>
            </w:pPr>
            <w:r>
              <w:rPr/>
              <w:t>(71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7" w:type="dxa"/>
            <w:tcBorders>
              <w:bottom w:val="single" w:sz="8" w:space="0" w:color="000000"/>
            </w:tcBorders>
            <w:shd w:fill="CCEEFF" w:val="clear"/>
            <w:vAlign w:val="center"/>
          </w:tcPr>
          <w:p>
            <w:pPr>
              <w:pStyle w:val="TableContents"/>
              <w:bidi w:val="0"/>
              <w:spacing w:before="0" w:after="283"/>
              <w:jc w:val="left"/>
              <w:rPr/>
            </w:pPr>
            <w:r>
              <w:rPr/>
              <w:t> </w:t>
            </w:r>
          </w:p>
        </w:tc>
        <w:tc>
          <w:tcPr>
            <w:tcW w:w="1948" w:type="dxa"/>
            <w:tcBorders>
              <w:bottom w:val="single" w:sz="8" w:space="0" w:color="000000"/>
            </w:tcBorders>
            <w:shd w:fill="CCEEFF" w:val="clear"/>
            <w:vAlign w:val="center"/>
          </w:tcPr>
          <w:p>
            <w:pPr>
              <w:pStyle w:val="TableContents"/>
              <w:bidi w:val="0"/>
              <w:spacing w:before="0" w:after="283"/>
              <w:jc w:val="right"/>
              <w:rPr/>
            </w:pPr>
            <w:r>
              <w:rPr/>
              <w:t>(134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bottom w:val="single" w:sz="8" w:space="0" w:color="000000"/>
            </w:tcBorders>
            <w:shd w:fill="CCEEFF" w:val="clear"/>
            <w:vAlign w:val="center"/>
          </w:tcPr>
          <w:p>
            <w:pPr>
              <w:pStyle w:val="TableContents"/>
              <w:bidi w:val="0"/>
              <w:spacing w:before="0" w:after="283"/>
              <w:jc w:val="left"/>
              <w:rPr/>
            </w:pPr>
            <w:r>
              <w:rPr/>
              <w:t> </w:t>
            </w:r>
          </w:p>
        </w:tc>
        <w:tc>
          <w:tcPr>
            <w:tcW w:w="704" w:type="dxa"/>
            <w:tcBorders>
              <w:bottom w:val="single" w:sz="8" w:space="0" w:color="000000"/>
            </w:tcBorders>
            <w:shd w:fill="CCEEFF" w:val="cle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595" w:name="xdx_435_c20250401__20250630_eus-gaap--Fa"/>
            <w:bookmarkEnd w:id="595"/>
          </w:p>
        </w:tc>
      </w:tr>
      <w:tr>
        <w:trPr/>
        <w:tc>
          <w:tcPr>
            <w:tcW w:w="2975" w:type="dxa"/>
            <w:tcBorders/>
            <w:shd w:fill="FFFFFF" w:val="clear"/>
            <w:tcMar>
              <w:bottom w:w="0" w:type="dxa"/>
            </w:tcMar>
            <w:vAlign w:val="center"/>
          </w:tcPr>
          <w:p>
            <w:pPr>
              <w:pStyle w:val="TableContents"/>
              <w:bidi w:val="0"/>
              <w:spacing w:before="0" w:after="283"/>
              <w:jc w:val="left"/>
              <w:rPr/>
            </w:pPr>
            <w:r>
              <w:rPr/>
              <w:t>Balance, 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vAlign w:val="center"/>
          </w:tcPr>
          <w:p>
            <w:pPr>
              <w:pStyle w:val="TableContents"/>
              <w:bidi w:val="0"/>
              <w:spacing w:before="0" w:after="283"/>
              <w:jc w:val="left"/>
              <w:rPr/>
            </w:pPr>
            <w:r>
              <w:rPr/>
              <w:t>$</w:t>
            </w:r>
          </w:p>
        </w:tc>
        <w:tc>
          <w:tcPr>
            <w:tcW w:w="673" w:type="dxa"/>
            <w:tcBorders>
              <w:bottom w:val="double" w:sz="6" w:space="0" w:color="000000"/>
            </w:tcBorders>
            <w:shd w:fill="FFFFFF" w:val="clear"/>
            <w:vAlign w:val="center"/>
          </w:tcPr>
          <w:p>
            <w:pPr>
              <w:pStyle w:val="TableContents"/>
              <w:bidi w:val="0"/>
              <w:spacing w:before="0" w:after="283"/>
              <w:jc w:val="right"/>
              <w:rPr/>
            </w:pPr>
            <w:r>
              <w:rPr/>
              <w:t>114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vAlign w:val="center"/>
          </w:tcPr>
          <w:p>
            <w:pPr>
              <w:pStyle w:val="TableContents"/>
              <w:bidi w:val="0"/>
              <w:spacing w:before="0" w:after="283"/>
              <w:jc w:val="left"/>
              <w:rPr/>
            </w:pPr>
            <w:r>
              <w:rPr/>
              <w:t>$</w:t>
            </w:r>
          </w:p>
        </w:tc>
        <w:tc>
          <w:tcPr>
            <w:tcW w:w="639" w:type="dxa"/>
            <w:tcBorders>
              <w:bottom w:val="double" w:sz="6" w:space="0" w:color="000000"/>
            </w:tcBorders>
            <w:shd w:fill="FFFFFF" w:val="clear"/>
            <w:vAlign w:val="center"/>
          </w:tcPr>
          <w:p>
            <w:pPr>
              <w:pStyle w:val="TableContents"/>
              <w:bidi w:val="0"/>
              <w:spacing w:before="0" w:after="283"/>
              <w:jc w:val="right"/>
              <w:rPr/>
            </w:pPr>
            <w:r>
              <w:rPr/>
              <w:t>63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w:t>
            </w:r>
          </w:p>
        </w:tc>
        <w:tc>
          <w:tcPr>
            <w:tcW w:w="618" w:type="dxa"/>
            <w:tcBorders>
              <w:bottom w:val="double" w:sz="6" w:space="0" w:color="000000"/>
            </w:tcBorders>
            <w:shd w:fill="FFFFFF" w:val="clear"/>
            <w:vAlign w:val="center"/>
          </w:tcPr>
          <w:p>
            <w:pPr>
              <w:pStyle w:val="TableContents"/>
              <w:bidi w:val="0"/>
              <w:spacing w:before="0" w:after="283"/>
              <w:jc w:val="right"/>
              <w:rPr/>
            </w:pPr>
            <w:r>
              <w:rPr/>
              <w:t>689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7" w:type="dxa"/>
            <w:tcBorders>
              <w:bottom w:val="double" w:sz="6" w:space="0" w:color="000000"/>
            </w:tcBorders>
            <w:shd w:fill="FFFFFF" w:val="clear"/>
            <w:vAlign w:val="center"/>
          </w:tcPr>
          <w:p>
            <w:pPr>
              <w:pStyle w:val="TableContents"/>
              <w:bidi w:val="0"/>
              <w:spacing w:before="0" w:after="283"/>
              <w:jc w:val="left"/>
              <w:rPr/>
            </w:pPr>
            <w:r>
              <w:rPr/>
              <w:t>$</w:t>
            </w:r>
          </w:p>
        </w:tc>
        <w:tc>
          <w:tcPr>
            <w:tcW w:w="1948" w:type="dxa"/>
            <w:tcBorders>
              <w:bottom w:val="double" w:sz="6" w:space="0" w:color="000000"/>
            </w:tcBorders>
            <w:shd w:fill="FFFFFF" w:val="clear"/>
            <w:vAlign w:val="center"/>
          </w:tcPr>
          <w:p>
            <w:pPr>
              <w:pStyle w:val="TableContents"/>
              <w:bidi w:val="0"/>
              <w:spacing w:before="0" w:after="283"/>
              <w:jc w:val="right"/>
              <w:rPr/>
            </w:pPr>
            <w:r>
              <w:rPr/>
              <w:t>866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vAlign w:val="center"/>
          </w:tcPr>
          <w:p>
            <w:pPr>
              <w:pStyle w:val="TableContents"/>
              <w:bidi w:val="0"/>
              <w:spacing w:before="0" w:after="283"/>
              <w:jc w:val="left"/>
              <w:rPr/>
            </w:pPr>
            <w:r>
              <w:rPr/>
              <w:t>$</w:t>
            </w:r>
          </w:p>
        </w:tc>
        <w:tc>
          <w:tcPr>
            <w:tcW w:w="704" w:type="dxa"/>
            <w:tcBorders>
              <w:bottom w:val="double" w:sz="6"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67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63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61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7" w:type="dxa"/>
            <w:tcBorders/>
            <w:shd w:fill="CCEEFF" w:val="clear"/>
            <w:tcMar>
              <w:bottom w:w="0" w:type="dxa"/>
            </w:tcMar>
            <w:vAlign w:val="center"/>
          </w:tcPr>
          <w:p>
            <w:pPr>
              <w:pStyle w:val="TableContents"/>
              <w:bidi w:val="0"/>
              <w:spacing w:before="0" w:after="283"/>
              <w:jc w:val="left"/>
              <w:rPr/>
            </w:pPr>
            <w:r>
              <w:rPr/>
              <w:t> </w:t>
            </w:r>
          </w:p>
        </w:tc>
        <w:tc>
          <w:tcPr>
            <w:tcW w:w="194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596" w:name="xdx_438_c20260101__20260331_eus-gaap--Fa"/>
            <w:bookmarkEnd w:id="596"/>
          </w:p>
        </w:tc>
      </w:tr>
      <w:tr>
        <w:trPr/>
        <w:tc>
          <w:tcPr>
            <w:tcW w:w="2975" w:type="dxa"/>
            <w:tcBorders/>
            <w:shd w:fill="FFFFFF" w:val="clear"/>
            <w:tcMar>
              <w:bottom w:w="0" w:type="dxa"/>
            </w:tcMar>
            <w:vAlign w:val="center"/>
          </w:tcPr>
          <w:p>
            <w:pPr>
              <w:pStyle w:val="TableContents"/>
              <w:bidi w:val="0"/>
              <w:spacing w:before="0" w:after="283"/>
              <w:jc w:val="left"/>
              <w:rPr/>
            </w:pPr>
            <w:r>
              <w:rPr/>
              <w:t>Balance,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w:t>
            </w:r>
          </w:p>
        </w:tc>
        <w:tc>
          <w:tcPr>
            <w:tcW w:w="673" w:type="dxa"/>
            <w:tcBorders/>
            <w:shd w:fill="FFFFFF" w:val="clear"/>
            <w:tcMar>
              <w:bottom w:w="0" w:type="dxa"/>
            </w:tcMar>
            <w:vAlign w:val="center"/>
          </w:tcPr>
          <w:p>
            <w:pPr>
              <w:pStyle w:val="TableContents"/>
              <w:bidi w:val="0"/>
              <w:spacing w:before="0" w:after="283"/>
              <w:jc w:val="right"/>
              <w:rPr/>
            </w:pPr>
            <w:r>
              <w:rPr/>
              <w:t>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w:t>
            </w:r>
          </w:p>
        </w:tc>
        <w:tc>
          <w:tcPr>
            <w:tcW w:w="6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w:t>
            </w:r>
          </w:p>
        </w:tc>
        <w:tc>
          <w:tcPr>
            <w:tcW w:w="618" w:type="dxa"/>
            <w:tcBorders/>
            <w:shd w:fill="FFFFFF" w:val="clear"/>
            <w:tcMar>
              <w:bottom w:w="0" w:type="dxa"/>
            </w:tcMar>
            <w:vAlign w:val="center"/>
          </w:tcPr>
          <w:p>
            <w:pPr>
              <w:pStyle w:val="TableContents"/>
              <w:bidi w:val="0"/>
              <w:spacing w:before="0" w:after="283"/>
              <w:jc w:val="right"/>
              <w:rPr/>
            </w:pPr>
            <w:r>
              <w:rPr/>
              <w:t>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7" w:type="dxa"/>
            <w:tcBorders/>
            <w:shd w:fill="FFFFFF" w:val="clear"/>
            <w:tcMar>
              <w:bottom w:w="0" w:type="dxa"/>
            </w:tcMar>
            <w:vAlign w:val="center"/>
          </w:tcPr>
          <w:p>
            <w:pPr>
              <w:pStyle w:val="TableContents"/>
              <w:bidi w:val="0"/>
              <w:spacing w:before="0" w:after="283"/>
              <w:jc w:val="left"/>
              <w:rPr/>
            </w:pPr>
            <w:r>
              <w:rPr/>
              <w:t>$</w:t>
            </w:r>
          </w:p>
        </w:tc>
        <w:tc>
          <w:tcPr>
            <w:tcW w:w="1948" w:type="dxa"/>
            <w:tcBorders/>
            <w:shd w:fill="FFFFFF" w:val="clear"/>
            <w:tcMar>
              <w:bottom w:w="0" w:type="dxa"/>
            </w:tcMar>
            <w:vAlign w:val="center"/>
          </w:tcPr>
          <w:p>
            <w:pPr>
              <w:pStyle w:val="TableContents"/>
              <w:bidi w:val="0"/>
              <w:spacing w:before="0" w:after="283"/>
              <w:jc w:val="right"/>
              <w:rPr/>
            </w:pPr>
            <w:r>
              <w:rPr/>
              <w:t>61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w:t>
            </w:r>
          </w:p>
        </w:tc>
        <w:tc>
          <w:tcPr>
            <w:tcW w:w="704" w:type="dxa"/>
            <w:tcBorders/>
            <w:shd w:fill="FFFFFF" w:val="clear"/>
            <w:tcMar>
              <w:bottom w:w="0" w:type="dxa"/>
            </w:tcMar>
            <w:vAlign w:val="center"/>
          </w:tcPr>
          <w:p>
            <w:pPr>
              <w:pStyle w:val="TableContents"/>
              <w:bidi w:val="0"/>
              <w:spacing w:before="0" w:after="283"/>
              <w:jc w:val="right"/>
              <w:rPr/>
            </w:pPr>
            <w:r>
              <w:rPr/>
              <w:t>230</w:t>
            </w:r>
          </w:p>
        </w:tc>
        <w:tc>
          <w:tcPr>
            <w:tcW w:w="110" w:type="dxa"/>
            <w:tcBorders/>
            <w:shd w:fill="FFFFFF" w:val="clear"/>
            <w:tcMar>
              <w:bottom w:w="0" w:type="dxa"/>
            </w:tcMar>
            <w:vAlign w:val="center"/>
          </w:tcPr>
          <w:p>
            <w:pPr>
              <w:pStyle w:val="TableContents"/>
              <w:bidi w:val="0"/>
              <w:spacing w:before="0" w:after="283"/>
              <w:jc w:val="left"/>
              <w:rPr/>
            </w:pPr>
            <w:r>
              <w:rPr/>
              <w:t> </w:t>
            </w:r>
            <w:bookmarkStart w:id="597" w:name="xdx_409_eus-gaap--FairValueMeasurementWi"/>
            <w:bookmarkEnd w:id="597"/>
          </w:p>
        </w:tc>
      </w:tr>
      <w:tr>
        <w:trPr/>
        <w:tc>
          <w:tcPr>
            <w:tcW w:w="2975" w:type="dxa"/>
            <w:tcBorders/>
            <w:shd w:fill="CCEEFF" w:val="clear"/>
            <w:tcMar>
              <w:bottom w:w="0" w:type="dxa"/>
            </w:tcMar>
            <w:vAlign w:val="center"/>
          </w:tcPr>
          <w:p>
            <w:pPr>
              <w:pStyle w:val="TableContents"/>
              <w:bidi w:val="0"/>
              <w:spacing w:before="0" w:after="283"/>
              <w:jc w:val="left"/>
              <w:rPr/>
            </w:pPr>
            <w:r>
              <w:rPr/>
              <w:t>Change in fair value of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8" w:space="0" w:color="000000"/>
            </w:tcBorders>
            <w:shd w:fill="CCEEFF" w:val="clear"/>
            <w:vAlign w:val="center"/>
          </w:tcPr>
          <w:p>
            <w:pPr>
              <w:pStyle w:val="TableContents"/>
              <w:bidi w:val="0"/>
              <w:spacing w:before="0" w:after="283"/>
              <w:jc w:val="left"/>
              <w:rPr/>
            </w:pPr>
            <w:r>
              <w:rPr/>
              <w:t> </w:t>
            </w:r>
          </w:p>
        </w:tc>
        <w:tc>
          <w:tcPr>
            <w:tcW w:w="673" w:type="dxa"/>
            <w:tcBorders>
              <w:bottom w:val="single" w:sz="8" w:space="0" w:color="000000"/>
            </w:tcBorders>
            <w:shd w:fill="CCEEFF" w:val="clear"/>
            <w:vAlign w:val="center"/>
          </w:tcPr>
          <w:p>
            <w:pPr>
              <w:pStyle w:val="TableContents"/>
              <w:bidi w:val="0"/>
              <w:spacing w:before="0" w:after="283"/>
              <w:jc w:val="right"/>
              <w:rPr/>
            </w:pPr>
            <w:r>
              <w:rPr/>
              <w:t>(10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bottom w:val="single" w:sz="8" w:space="0" w:color="000000"/>
            </w:tcBorders>
            <w:shd w:fill="CCEEFF" w:val="clear"/>
            <w:vAlign w:val="center"/>
          </w:tcPr>
          <w:p>
            <w:pPr>
              <w:pStyle w:val="TableContents"/>
              <w:bidi w:val="0"/>
              <w:spacing w:before="0" w:after="283"/>
              <w:jc w:val="left"/>
              <w:rPr/>
            </w:pPr>
            <w:r>
              <w:rPr/>
              <w:t> </w:t>
            </w:r>
          </w:p>
        </w:tc>
        <w:tc>
          <w:tcPr>
            <w:tcW w:w="639"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618" w:type="dxa"/>
            <w:tcBorders>
              <w:bottom w:val="single" w:sz="8" w:space="0" w:color="000000"/>
            </w:tcBorders>
            <w:shd w:fill="CCEEFF" w:val="clear"/>
            <w:vAlign w:val="center"/>
          </w:tcPr>
          <w:p>
            <w:pPr>
              <w:pStyle w:val="TableContents"/>
              <w:bidi w:val="0"/>
              <w:spacing w:before="0" w:after="283"/>
              <w:jc w:val="right"/>
              <w:rPr/>
            </w:pPr>
            <w:r>
              <w:rPr/>
              <w:t>(34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7" w:type="dxa"/>
            <w:tcBorders>
              <w:bottom w:val="single" w:sz="8" w:space="0" w:color="000000"/>
            </w:tcBorders>
            <w:shd w:fill="CCEEFF" w:val="clear"/>
            <w:vAlign w:val="center"/>
          </w:tcPr>
          <w:p>
            <w:pPr>
              <w:pStyle w:val="TableContents"/>
              <w:bidi w:val="0"/>
              <w:spacing w:before="0" w:after="283"/>
              <w:jc w:val="left"/>
              <w:rPr/>
            </w:pPr>
            <w:r>
              <w:rPr/>
              <w:t> </w:t>
            </w:r>
          </w:p>
        </w:tc>
        <w:tc>
          <w:tcPr>
            <w:tcW w:w="1948" w:type="dxa"/>
            <w:tcBorders>
              <w:bottom w:val="single" w:sz="8" w:space="0" w:color="000000"/>
            </w:tcBorders>
            <w:shd w:fill="CCEEFF" w:val="clear"/>
            <w:vAlign w:val="center"/>
          </w:tcPr>
          <w:p>
            <w:pPr>
              <w:pStyle w:val="TableContents"/>
              <w:bidi w:val="0"/>
              <w:spacing w:before="0" w:after="283"/>
              <w:jc w:val="right"/>
              <w:rPr/>
            </w:pPr>
            <w:r>
              <w:rPr/>
              <w:t>(44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bottom w:val="single" w:sz="8" w:space="0" w:color="000000"/>
            </w:tcBorders>
            <w:shd w:fill="CCEEFF" w:val="clear"/>
            <w:vAlign w:val="center"/>
          </w:tcPr>
          <w:p>
            <w:pPr>
              <w:pStyle w:val="TableContents"/>
              <w:bidi w:val="0"/>
              <w:spacing w:before="0" w:after="283"/>
              <w:jc w:val="left"/>
              <w:rPr/>
            </w:pPr>
            <w:r>
              <w:rPr/>
              <w:t> </w:t>
            </w:r>
          </w:p>
        </w:tc>
        <w:tc>
          <w:tcPr>
            <w:tcW w:w="704" w:type="dxa"/>
            <w:tcBorders>
              <w:bottom w:val="single" w:sz="8" w:space="0" w:color="000000"/>
            </w:tcBorders>
            <w:shd w:fill="CCEEFF" w:val="clear"/>
            <w:vAlign w:val="center"/>
          </w:tcPr>
          <w:p>
            <w:pPr>
              <w:pStyle w:val="TableContents"/>
              <w:bidi w:val="0"/>
              <w:spacing w:before="0" w:after="283"/>
              <w:jc w:val="right"/>
              <w:rPr/>
            </w:pPr>
            <w:r>
              <w:rPr/>
              <w:t>(230</w:t>
            </w:r>
          </w:p>
        </w:tc>
        <w:tc>
          <w:tcPr>
            <w:tcW w:w="110" w:type="dxa"/>
            <w:tcBorders/>
            <w:shd w:fill="CCEEFF" w:val="clear"/>
            <w:tcMar>
              <w:bottom w:w="0" w:type="dxa"/>
            </w:tcMar>
            <w:vAlign w:val="center"/>
          </w:tcPr>
          <w:p>
            <w:pPr>
              <w:pStyle w:val="TableContents"/>
              <w:bidi w:val="0"/>
              <w:spacing w:before="0" w:after="283"/>
              <w:jc w:val="left"/>
              <w:rPr/>
            </w:pPr>
            <w:r>
              <w:rPr/>
              <w:t>)</w:t>
            </w:r>
            <w:bookmarkStart w:id="598" w:name="xdx_434_c20260401__20260630_eus-gaap--Fa"/>
            <w:bookmarkEnd w:id="598"/>
          </w:p>
        </w:tc>
      </w:tr>
      <w:tr>
        <w:trPr/>
        <w:tc>
          <w:tcPr>
            <w:tcW w:w="2975" w:type="dxa"/>
            <w:tcBorders/>
            <w:shd w:fill="FFFFFF" w:val="clear"/>
            <w:tcMar>
              <w:bottom w:w="0" w:type="dxa"/>
            </w:tcMar>
            <w:vAlign w:val="center"/>
          </w:tcPr>
          <w:p>
            <w:pPr>
              <w:pStyle w:val="TableContents"/>
              <w:bidi w:val="0"/>
              <w:spacing w:before="0" w:after="283"/>
              <w:jc w:val="left"/>
              <w:rPr/>
            </w:pPr>
            <w:r>
              <w:rPr/>
              <w:t>Balance,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w:t>
            </w:r>
          </w:p>
        </w:tc>
        <w:tc>
          <w:tcPr>
            <w:tcW w:w="67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w:t>
            </w:r>
          </w:p>
        </w:tc>
        <w:tc>
          <w:tcPr>
            <w:tcW w:w="6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w:t>
            </w:r>
          </w:p>
        </w:tc>
        <w:tc>
          <w:tcPr>
            <w:tcW w:w="618" w:type="dxa"/>
            <w:tcBorders/>
            <w:shd w:fill="FFFFFF" w:val="clear"/>
            <w:tcMar>
              <w:bottom w:w="0" w:type="dxa"/>
            </w:tcMar>
            <w:vAlign w:val="center"/>
          </w:tcPr>
          <w:p>
            <w:pPr>
              <w:pStyle w:val="TableContents"/>
              <w:bidi w:val="0"/>
              <w:spacing w:before="0" w:after="283"/>
              <w:jc w:val="right"/>
              <w:rPr/>
            </w:pPr>
            <w:r>
              <w:rPr/>
              <w:t>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7" w:type="dxa"/>
            <w:tcBorders/>
            <w:shd w:fill="FFFFFF" w:val="clear"/>
            <w:tcMar>
              <w:bottom w:w="0" w:type="dxa"/>
            </w:tcMar>
            <w:vAlign w:val="center"/>
          </w:tcPr>
          <w:p>
            <w:pPr>
              <w:pStyle w:val="TableContents"/>
              <w:bidi w:val="0"/>
              <w:spacing w:before="0" w:after="283"/>
              <w:jc w:val="left"/>
              <w:rPr/>
            </w:pPr>
            <w:r>
              <w:rPr/>
              <w:t>$</w:t>
            </w:r>
          </w:p>
        </w:tc>
        <w:tc>
          <w:tcPr>
            <w:tcW w:w="1948" w:type="dxa"/>
            <w:tcBorders/>
            <w:shd w:fill="FFFFFF" w:val="clear"/>
            <w:tcMar>
              <w:bottom w:w="0" w:type="dxa"/>
            </w:tcMar>
            <w:vAlign w:val="center"/>
          </w:tcPr>
          <w:p>
            <w:pPr>
              <w:pStyle w:val="TableContents"/>
              <w:bidi w:val="0"/>
              <w:spacing w:before="0" w:after="283"/>
              <w:jc w:val="right"/>
              <w:rPr/>
            </w:pPr>
            <w:r>
              <w:rPr/>
              <w:t>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w:t>
            </w:r>
          </w:p>
        </w:tc>
        <w:tc>
          <w:tcPr>
            <w:tcW w:w="704"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599" w:name="xdx_437_c20260401__20260630_eus-gaap--Fa"/>
            <w:bookmarkEnd w:id="599"/>
          </w:p>
        </w:tc>
      </w:tr>
      <w:tr>
        <w:trPr/>
        <w:tc>
          <w:tcPr>
            <w:tcW w:w="2975" w:type="dxa"/>
            <w:tcBorders/>
            <w:shd w:fill="FFFFFF" w:val="clear"/>
            <w:tcMar>
              <w:bottom w:w="0" w:type="dxa"/>
            </w:tcMar>
            <w:vAlign w:val="center"/>
          </w:tcPr>
          <w:p>
            <w:pPr>
              <w:pStyle w:val="TableContents"/>
              <w:bidi w:val="0"/>
              <w:spacing w:before="0" w:after="283"/>
              <w:jc w:val="left"/>
              <w:rPr/>
            </w:pPr>
            <w:r>
              <w:rPr/>
              <w:t>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w:t>
            </w:r>
          </w:p>
        </w:tc>
        <w:tc>
          <w:tcPr>
            <w:tcW w:w="67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w:t>
            </w:r>
          </w:p>
        </w:tc>
        <w:tc>
          <w:tcPr>
            <w:tcW w:w="6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w:t>
            </w:r>
          </w:p>
        </w:tc>
        <w:tc>
          <w:tcPr>
            <w:tcW w:w="618" w:type="dxa"/>
            <w:tcBorders/>
            <w:shd w:fill="FFFFFF" w:val="clear"/>
            <w:tcMar>
              <w:bottom w:w="0" w:type="dxa"/>
            </w:tcMar>
            <w:vAlign w:val="center"/>
          </w:tcPr>
          <w:p>
            <w:pPr>
              <w:pStyle w:val="TableContents"/>
              <w:bidi w:val="0"/>
              <w:spacing w:before="0" w:after="283"/>
              <w:jc w:val="right"/>
              <w:rPr/>
            </w:pPr>
            <w:r>
              <w:rPr/>
              <w:t>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7" w:type="dxa"/>
            <w:tcBorders/>
            <w:shd w:fill="FFFFFF" w:val="clear"/>
            <w:tcMar>
              <w:bottom w:w="0" w:type="dxa"/>
            </w:tcMar>
            <w:vAlign w:val="center"/>
          </w:tcPr>
          <w:p>
            <w:pPr>
              <w:pStyle w:val="TableContents"/>
              <w:bidi w:val="0"/>
              <w:spacing w:before="0" w:after="283"/>
              <w:jc w:val="left"/>
              <w:rPr/>
            </w:pPr>
            <w:r>
              <w:rPr/>
              <w:t>$</w:t>
            </w:r>
          </w:p>
        </w:tc>
        <w:tc>
          <w:tcPr>
            <w:tcW w:w="1948" w:type="dxa"/>
            <w:tcBorders/>
            <w:shd w:fill="FFFFFF" w:val="clear"/>
            <w:tcMar>
              <w:bottom w:w="0" w:type="dxa"/>
            </w:tcMar>
            <w:vAlign w:val="center"/>
          </w:tcPr>
          <w:p>
            <w:pPr>
              <w:pStyle w:val="TableContents"/>
              <w:bidi w:val="0"/>
              <w:spacing w:before="0" w:after="283"/>
              <w:jc w:val="right"/>
              <w:rPr/>
            </w:pPr>
            <w:r>
              <w:rPr/>
              <w:t>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w:t>
            </w:r>
          </w:p>
        </w:tc>
        <w:tc>
          <w:tcPr>
            <w:tcW w:w="704"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600" w:name="xdx_409_eus-gaap--FairValueMeasurementWi"/>
            <w:bookmarkEnd w:id="600"/>
          </w:p>
        </w:tc>
      </w:tr>
      <w:tr>
        <w:trPr/>
        <w:tc>
          <w:tcPr>
            <w:tcW w:w="2975" w:type="dxa"/>
            <w:tcBorders/>
            <w:shd w:fill="CCEEFF" w:val="clear"/>
            <w:tcMar>
              <w:bottom w:w="0" w:type="dxa"/>
            </w:tcMar>
            <w:vAlign w:val="center"/>
          </w:tcPr>
          <w:p>
            <w:pPr>
              <w:pStyle w:val="TableContents"/>
              <w:bidi w:val="0"/>
              <w:spacing w:before="0" w:after="283"/>
              <w:jc w:val="left"/>
              <w:rPr/>
            </w:pPr>
            <w:r>
              <w:rPr/>
              <w:t>Change in fair value of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8" w:space="0" w:color="000000"/>
            </w:tcBorders>
            <w:shd w:fill="CCEEFF" w:val="clear"/>
            <w:vAlign w:val="center"/>
          </w:tcPr>
          <w:p>
            <w:pPr>
              <w:pStyle w:val="TableContents"/>
              <w:bidi w:val="0"/>
              <w:spacing w:before="0" w:after="283"/>
              <w:jc w:val="left"/>
              <w:rPr/>
            </w:pPr>
            <w:r>
              <w:rPr/>
              <w:t> </w:t>
            </w:r>
          </w:p>
        </w:tc>
        <w:tc>
          <w:tcPr>
            <w:tcW w:w="673" w:type="dxa"/>
            <w:tcBorders>
              <w:bottom w:val="single" w:sz="8" w:space="0" w:color="000000"/>
            </w:tcBorders>
            <w:shd w:fill="CCEEFF" w:val="clear"/>
            <w:vAlign w:val="center"/>
          </w:tcPr>
          <w:p>
            <w:pPr>
              <w:pStyle w:val="TableContents"/>
              <w:bidi w:val="0"/>
              <w:spacing w:before="0" w:after="283"/>
              <w:jc w:val="right"/>
              <w:rPr/>
            </w:pPr>
            <w:r>
              <w:rPr/>
              <w:t>31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bottom w:val="single" w:sz="8" w:space="0" w:color="000000"/>
            </w:tcBorders>
            <w:shd w:fill="CCEEFF" w:val="clear"/>
            <w:vAlign w:val="center"/>
          </w:tcPr>
          <w:p>
            <w:pPr>
              <w:pStyle w:val="TableContents"/>
              <w:bidi w:val="0"/>
              <w:spacing w:before="0" w:after="283"/>
              <w:jc w:val="left"/>
              <w:rPr/>
            </w:pPr>
            <w:r>
              <w:rPr/>
              <w:t> </w:t>
            </w:r>
          </w:p>
        </w:tc>
        <w:tc>
          <w:tcPr>
            <w:tcW w:w="639"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618" w:type="dxa"/>
            <w:tcBorders>
              <w:bottom w:val="single" w:sz="8" w:space="0" w:color="000000"/>
            </w:tcBorders>
            <w:shd w:fill="CCEEFF" w:val="clear"/>
            <w:vAlign w:val="center"/>
          </w:tcPr>
          <w:p>
            <w:pPr>
              <w:pStyle w:val="TableContents"/>
              <w:bidi w:val="0"/>
              <w:spacing w:before="0" w:after="283"/>
              <w:jc w:val="right"/>
              <w:rPr/>
            </w:pPr>
            <w:r>
              <w:rPr/>
              <w:t>68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7" w:type="dxa"/>
            <w:tcBorders>
              <w:bottom w:val="single" w:sz="8" w:space="0" w:color="000000"/>
            </w:tcBorders>
            <w:shd w:fill="CCEEFF" w:val="clear"/>
            <w:vAlign w:val="center"/>
          </w:tcPr>
          <w:p>
            <w:pPr>
              <w:pStyle w:val="TableContents"/>
              <w:bidi w:val="0"/>
              <w:spacing w:before="0" w:after="283"/>
              <w:jc w:val="left"/>
              <w:rPr/>
            </w:pPr>
            <w:r>
              <w:rPr/>
              <w:t> </w:t>
            </w:r>
          </w:p>
        </w:tc>
        <w:tc>
          <w:tcPr>
            <w:tcW w:w="1948" w:type="dxa"/>
            <w:tcBorders>
              <w:bottom w:val="single" w:sz="8" w:space="0" w:color="000000"/>
            </w:tcBorders>
            <w:shd w:fill="CCEEFF" w:val="clear"/>
            <w:vAlign w:val="center"/>
          </w:tcPr>
          <w:p>
            <w:pPr>
              <w:pStyle w:val="TableContents"/>
              <w:bidi w:val="0"/>
              <w:spacing w:before="0" w:after="283"/>
              <w:jc w:val="right"/>
              <w:rPr/>
            </w:pPr>
            <w:r>
              <w:rPr/>
              <w:t>99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bottom w:val="single" w:sz="8" w:space="0" w:color="000000"/>
            </w:tcBorders>
            <w:shd w:fill="CCEEFF" w:val="clear"/>
            <w:vAlign w:val="center"/>
          </w:tcPr>
          <w:p>
            <w:pPr>
              <w:pStyle w:val="TableContents"/>
              <w:bidi w:val="0"/>
              <w:spacing w:before="0" w:after="283"/>
              <w:jc w:val="left"/>
              <w:rPr/>
            </w:pPr>
            <w:r>
              <w:rPr/>
              <w:t> </w:t>
            </w:r>
          </w:p>
        </w:tc>
        <w:tc>
          <w:tcPr>
            <w:tcW w:w="704"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601" w:name="xdx_435_c20260401__20260630_eus-gaap--Fa"/>
            <w:bookmarkEnd w:id="601"/>
          </w:p>
        </w:tc>
      </w:tr>
      <w:tr>
        <w:trPr/>
        <w:tc>
          <w:tcPr>
            <w:tcW w:w="2975" w:type="dxa"/>
            <w:tcBorders/>
            <w:shd w:fill="FFFFFF" w:val="clear"/>
            <w:tcMar>
              <w:bottom w:w="0" w:type="dxa"/>
            </w:tcMar>
            <w:vAlign w:val="center"/>
          </w:tcPr>
          <w:p>
            <w:pPr>
              <w:pStyle w:val="TableContents"/>
              <w:bidi w:val="0"/>
              <w:spacing w:before="0" w:after="283"/>
              <w:jc w:val="left"/>
              <w:rPr/>
            </w:pPr>
            <w:r>
              <w:rPr/>
              <w:t>Balance,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vAlign w:val="center"/>
          </w:tcPr>
          <w:p>
            <w:pPr>
              <w:pStyle w:val="TableContents"/>
              <w:bidi w:val="0"/>
              <w:spacing w:before="0" w:after="283"/>
              <w:jc w:val="left"/>
              <w:rPr/>
            </w:pPr>
            <w:r>
              <w:rPr/>
              <w:t>$</w:t>
            </w:r>
          </w:p>
        </w:tc>
        <w:tc>
          <w:tcPr>
            <w:tcW w:w="673" w:type="dxa"/>
            <w:tcBorders>
              <w:bottom w:val="double" w:sz="6" w:space="0" w:color="000000"/>
            </w:tcBorders>
            <w:shd w:fill="FFFFFF" w:val="clear"/>
            <w:vAlign w:val="center"/>
          </w:tcPr>
          <w:p>
            <w:pPr>
              <w:pStyle w:val="TableContents"/>
              <w:bidi w:val="0"/>
              <w:spacing w:before="0" w:after="283"/>
              <w:jc w:val="right"/>
              <w:rPr/>
            </w:pPr>
            <w:r>
              <w:rPr/>
              <w:t>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vAlign w:val="center"/>
          </w:tcPr>
          <w:p>
            <w:pPr>
              <w:pStyle w:val="TableContents"/>
              <w:bidi w:val="0"/>
              <w:spacing w:before="0" w:after="283"/>
              <w:jc w:val="left"/>
              <w:rPr/>
            </w:pPr>
            <w:r>
              <w:rPr/>
              <w:t>$</w:t>
            </w:r>
          </w:p>
        </w:tc>
        <w:tc>
          <w:tcPr>
            <w:tcW w:w="639" w:type="dxa"/>
            <w:tcBorders>
              <w:bottom w:val="double" w:sz="6"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w:t>
            </w:r>
          </w:p>
        </w:tc>
        <w:tc>
          <w:tcPr>
            <w:tcW w:w="618" w:type="dxa"/>
            <w:tcBorders>
              <w:bottom w:val="double" w:sz="6" w:space="0" w:color="000000"/>
            </w:tcBorders>
            <w:shd w:fill="FFFFFF" w:val="clear"/>
            <w:vAlign w:val="center"/>
          </w:tcPr>
          <w:p>
            <w:pPr>
              <w:pStyle w:val="TableContents"/>
              <w:bidi w:val="0"/>
              <w:spacing w:before="0" w:after="283"/>
              <w:jc w:val="right"/>
              <w:rPr/>
            </w:pPr>
            <w:r>
              <w:rPr/>
              <w:t>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7" w:type="dxa"/>
            <w:tcBorders>
              <w:bottom w:val="double" w:sz="6" w:space="0" w:color="000000"/>
            </w:tcBorders>
            <w:shd w:fill="FFFFFF" w:val="clear"/>
            <w:vAlign w:val="center"/>
          </w:tcPr>
          <w:p>
            <w:pPr>
              <w:pStyle w:val="TableContents"/>
              <w:bidi w:val="0"/>
              <w:spacing w:before="0" w:after="283"/>
              <w:jc w:val="left"/>
              <w:rPr/>
            </w:pPr>
            <w:r>
              <w:rPr/>
              <w:t>$</w:t>
            </w:r>
          </w:p>
        </w:tc>
        <w:tc>
          <w:tcPr>
            <w:tcW w:w="1948" w:type="dxa"/>
            <w:tcBorders>
              <w:bottom w:val="double" w:sz="6" w:space="0" w:color="000000"/>
            </w:tcBorders>
            <w:shd w:fill="FFFFFF" w:val="clear"/>
            <w:vAlign w:val="center"/>
          </w:tcPr>
          <w:p>
            <w:pPr>
              <w:pStyle w:val="TableContents"/>
              <w:bidi w:val="0"/>
              <w:spacing w:before="0" w:after="283"/>
              <w:jc w:val="right"/>
              <w:rPr/>
            </w:pPr>
            <w:r>
              <w:rPr/>
              <w:t>116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vAlign w:val="center"/>
          </w:tcPr>
          <w:p>
            <w:pPr>
              <w:pStyle w:val="TableContents"/>
              <w:bidi w:val="0"/>
              <w:spacing w:before="0" w:after="283"/>
              <w:jc w:val="left"/>
              <w:rPr/>
            </w:pPr>
            <w:r>
              <w:rPr/>
              <w:t>$</w:t>
            </w:r>
          </w:p>
        </w:tc>
        <w:tc>
          <w:tcPr>
            <w:tcW w:w="704" w:type="dxa"/>
            <w:tcBorders>
              <w:bottom w:val="double" w:sz="6"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602" w:name="xdx_430_c20260401__20260630_eus-gaap--Fa"/>
            <w:bookmarkEnd w:id="602"/>
          </w:p>
        </w:tc>
      </w:tr>
      <w:tr>
        <w:trPr/>
        <w:tc>
          <w:tcPr>
            <w:tcW w:w="2975" w:type="dxa"/>
            <w:tcBorders/>
            <w:shd w:fill="FFFFFF" w:val="clear"/>
            <w:tcMar>
              <w:bottom w:w="0" w:type="dxa"/>
            </w:tcMar>
            <w:vAlign w:val="center"/>
          </w:tcPr>
          <w:p>
            <w:pPr>
              <w:pStyle w:val="TableContents"/>
              <w:bidi w:val="0"/>
              <w:spacing w:before="0" w:after="283"/>
              <w:jc w:val="left"/>
              <w:rPr/>
            </w:pPr>
            <w:r>
              <w:rPr/>
              <w:t>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vAlign w:val="center"/>
          </w:tcPr>
          <w:p>
            <w:pPr>
              <w:pStyle w:val="TableContents"/>
              <w:bidi w:val="0"/>
              <w:spacing w:before="0" w:after="283"/>
              <w:jc w:val="left"/>
              <w:rPr/>
            </w:pPr>
            <w:r>
              <w:rPr/>
              <w:t>$</w:t>
            </w:r>
          </w:p>
        </w:tc>
        <w:tc>
          <w:tcPr>
            <w:tcW w:w="673" w:type="dxa"/>
            <w:tcBorders>
              <w:bottom w:val="double" w:sz="6" w:space="0" w:color="000000"/>
            </w:tcBorders>
            <w:shd w:fill="FFFFFF" w:val="clear"/>
            <w:vAlign w:val="center"/>
          </w:tcPr>
          <w:p>
            <w:pPr>
              <w:pStyle w:val="TableContents"/>
              <w:bidi w:val="0"/>
              <w:spacing w:before="0" w:after="283"/>
              <w:jc w:val="right"/>
              <w:rPr/>
            </w:pPr>
            <w:r>
              <w:rPr/>
              <w:t>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vAlign w:val="center"/>
          </w:tcPr>
          <w:p>
            <w:pPr>
              <w:pStyle w:val="TableContents"/>
              <w:bidi w:val="0"/>
              <w:spacing w:before="0" w:after="283"/>
              <w:jc w:val="left"/>
              <w:rPr/>
            </w:pPr>
            <w:r>
              <w:rPr/>
              <w:t>$</w:t>
            </w:r>
          </w:p>
        </w:tc>
        <w:tc>
          <w:tcPr>
            <w:tcW w:w="639" w:type="dxa"/>
            <w:tcBorders>
              <w:bottom w:val="double" w:sz="6"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w:t>
            </w:r>
          </w:p>
        </w:tc>
        <w:tc>
          <w:tcPr>
            <w:tcW w:w="618" w:type="dxa"/>
            <w:tcBorders>
              <w:bottom w:val="double" w:sz="6" w:space="0" w:color="000000"/>
            </w:tcBorders>
            <w:shd w:fill="FFFFFF" w:val="clear"/>
            <w:vAlign w:val="center"/>
          </w:tcPr>
          <w:p>
            <w:pPr>
              <w:pStyle w:val="TableContents"/>
              <w:bidi w:val="0"/>
              <w:spacing w:before="0" w:after="283"/>
              <w:jc w:val="right"/>
              <w:rPr/>
            </w:pPr>
            <w:r>
              <w:rPr/>
              <w:t>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7" w:type="dxa"/>
            <w:tcBorders>
              <w:bottom w:val="double" w:sz="6" w:space="0" w:color="000000"/>
            </w:tcBorders>
            <w:shd w:fill="FFFFFF" w:val="clear"/>
            <w:vAlign w:val="center"/>
          </w:tcPr>
          <w:p>
            <w:pPr>
              <w:pStyle w:val="TableContents"/>
              <w:bidi w:val="0"/>
              <w:spacing w:before="0" w:after="283"/>
              <w:jc w:val="left"/>
              <w:rPr/>
            </w:pPr>
            <w:r>
              <w:rPr/>
              <w:t>$</w:t>
            </w:r>
          </w:p>
        </w:tc>
        <w:tc>
          <w:tcPr>
            <w:tcW w:w="1948" w:type="dxa"/>
            <w:tcBorders>
              <w:bottom w:val="double" w:sz="6" w:space="0" w:color="000000"/>
            </w:tcBorders>
            <w:shd w:fill="FFFFFF" w:val="clear"/>
            <w:vAlign w:val="center"/>
          </w:tcPr>
          <w:p>
            <w:pPr>
              <w:pStyle w:val="TableContents"/>
              <w:bidi w:val="0"/>
              <w:spacing w:before="0" w:after="283"/>
              <w:jc w:val="right"/>
              <w:rPr/>
            </w:pPr>
            <w:r>
              <w:rPr/>
              <w:t>116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vAlign w:val="center"/>
          </w:tcPr>
          <w:p>
            <w:pPr>
              <w:pStyle w:val="TableContents"/>
              <w:bidi w:val="0"/>
              <w:spacing w:before="0" w:after="283"/>
              <w:jc w:val="left"/>
              <w:rPr/>
            </w:pPr>
            <w:r>
              <w:rPr/>
              <w:t>$</w:t>
            </w:r>
          </w:p>
        </w:tc>
        <w:tc>
          <w:tcPr>
            <w:tcW w:w="704" w:type="dxa"/>
            <w:tcBorders>
              <w:bottom w:val="double" w:sz="6"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3" w:name="xdx_8A4_z1fyriz2Vkh1"/>
      <w:bookmarkEnd w:id="60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 liabilities is based on significant inputs not observable in the market, which represents a Level 3 measurement within the fair value hierarchy. The fair value of the September 2022 Series B Warrants, the November 2022 Peak Bio Warrants and the April 2023 Bio Peak Warrants was determined using the Black-Scholes Option Pricing Model, which uses various assumptions, including (i) fair value of the Company’s ADSs, (ii) exercise price of the warrant, (iii) expected term of the warrant, (iv) expected volatility and (v) expected risk-free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4" w:name="xdx_89B_ecustom--DisclosureOfFairValueAs"/>
      <w:bookmarkEnd w:id="604"/>
      <w:r>
        <w:rPr>
          <w:rFonts w:ascii="Times New Roman;Times;Serif" w:hAnsi="Times New Roman;Times;Serif"/>
          <w:b w:val="false"/>
          <w:i w:val="false"/>
          <w:caps w:val="false"/>
          <w:smallCaps w:val="false"/>
          <w:sz w:val="20"/>
        </w:rPr>
        <w:t>Below are the assumptions used for the fair value calculations of liability classified warrants as of June 30,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5" w:name="xdx_8B5_zJbVkpycQv9k"/>
      <w:bookmarkEnd w:id="605"/>
      <w:r>
        <w:rPr>
          <w:rFonts w:ascii="Times New Roman;Times;Serif" w:hAnsi="Times New Roman;Times;Serif"/>
          <w:b w:val="false"/>
          <w:i w:val="false"/>
          <w:caps w:val="false"/>
          <w:smallCaps w:val="false"/>
          <w:sz w:val="20"/>
        </w:rPr>
        <w:t>Schedule of Assumptions used for Fair Value Calculations of Warrants</w:t>
      </w:r>
    </w:p>
    <w:tbl>
      <w:tblPr>
        <w:tblW w:w="10199" w:type="dxa"/>
        <w:jc w:val="left"/>
        <w:tblInd w:w="0" w:type="dxa"/>
        <w:tblLayout w:type="fixed"/>
        <w:tblCellMar>
          <w:top w:w="0" w:type="dxa"/>
          <w:left w:w="0" w:type="dxa"/>
          <w:bottom w:w="0" w:type="dxa"/>
          <w:right w:w="0" w:type="dxa"/>
        </w:tblCellMar>
      </w:tblPr>
      <w:tblGrid>
        <w:gridCol w:w="2345"/>
        <w:gridCol w:w="60"/>
        <w:gridCol w:w="157"/>
        <w:gridCol w:w="763"/>
        <w:gridCol w:w="215"/>
        <w:gridCol w:w="60"/>
        <w:gridCol w:w="140"/>
        <w:gridCol w:w="860"/>
        <w:gridCol w:w="215"/>
        <w:gridCol w:w="60"/>
        <w:gridCol w:w="169"/>
        <w:gridCol w:w="676"/>
        <w:gridCol w:w="215"/>
        <w:gridCol w:w="60"/>
        <w:gridCol w:w="269"/>
        <w:gridCol w:w="1310"/>
        <w:gridCol w:w="215"/>
        <w:gridCol w:w="60"/>
        <w:gridCol w:w="140"/>
        <w:gridCol w:w="860"/>
        <w:gridCol w:w="215"/>
        <w:gridCol w:w="60"/>
        <w:gridCol w:w="169"/>
        <w:gridCol w:w="676"/>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6" w:name="xdx_49D_20260630__us-gaap--ClassOfWarran"/>
            <w:bookmarkEnd w:id="606"/>
          </w:p>
        </w:tc>
        <w:tc>
          <w:tcPr>
            <w:tcW w:w="92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7" w:name="xdx_49D_20260630__us-gaap--ClassOfWarran"/>
            <w:bookmarkEnd w:id="607"/>
          </w:p>
        </w:tc>
        <w:tc>
          <w:tcPr>
            <w:tcW w:w="100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8" w:name="xdx_492_20260630__us-gaap--ClassOfWarran"/>
            <w:bookmarkEnd w:id="608"/>
          </w:p>
        </w:tc>
        <w:tc>
          <w:tcPr>
            <w:tcW w:w="845"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9" w:name="xdx_494_20251231__us-gaap--ClassOfWarran"/>
            <w:bookmarkEnd w:id="609"/>
          </w:p>
        </w:tc>
        <w:tc>
          <w:tcPr>
            <w:tcW w:w="1579"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0" w:name="xdx_49F_20251231__us-gaap--ClassOfWarran"/>
            <w:bookmarkEnd w:id="610"/>
          </w:p>
        </w:tc>
        <w:tc>
          <w:tcPr>
            <w:tcW w:w="100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1" w:name="xdx_492_20251231__us-gaap--ClassOfWarran"/>
            <w:bookmarkEnd w:id="611"/>
          </w:p>
        </w:tc>
        <w:tc>
          <w:tcPr>
            <w:tcW w:w="84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4"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230" w:type="dxa"/>
            <w:tcBorders/>
            <w:vAlign w:val="center"/>
          </w:tcPr>
          <w:p>
            <w:pPr>
              <w:pStyle w:val="TableContents"/>
              <w:bidi w:val="0"/>
              <w:spacing w:before="0" w:after="283"/>
              <w:jc w:val="left"/>
              <w:rPr/>
            </w:pPr>
            <w:r>
              <w:rPr/>
              <w:t> </w:t>
            </w:r>
            <w:bookmarkStart w:id="612" w:name="xdx_404_eus-gaap--WarrantsAndRightsOutst"/>
            <w:bookmarkEnd w:id="612"/>
          </w:p>
        </w:tc>
      </w:tr>
      <w:tr>
        <w:trPr/>
        <w:tc>
          <w:tcPr>
            <w:tcW w:w="2345" w:type="dxa"/>
            <w:tcBorders/>
            <w:shd w:fill="CCEEFF" w:val="clear"/>
            <w:vAlign w:val="center"/>
          </w:tcPr>
          <w:p>
            <w:pPr>
              <w:pStyle w:val="TableContents"/>
              <w:bidi w:val="0"/>
              <w:spacing w:before="0" w:after="283"/>
              <w:jc w:val="left"/>
              <w:rPr/>
            </w:pPr>
            <w:r>
              <w:rPr/>
              <w:t>Stock (ADS) price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10.25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10.25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jc w:val="right"/>
              <w:rPr/>
            </w:pPr>
            <w:r>
              <w:rPr/>
              <w:t>11.56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11.56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11.56</w:t>
            </w:r>
          </w:p>
        </w:tc>
        <w:tc>
          <w:tcPr>
            <w:tcW w:w="230" w:type="dxa"/>
            <w:tcBorders/>
            <w:shd w:fill="CCEEFF" w:val="clear"/>
            <w:vAlign w:val="center"/>
          </w:tcPr>
          <w:p>
            <w:pPr>
              <w:pStyle w:val="TableContents"/>
              <w:bidi w:val="0"/>
              <w:spacing w:before="0" w:after="283"/>
              <w:jc w:val="left"/>
              <w:rPr/>
            </w:pPr>
            <w:r>
              <w:rPr/>
              <w:t> </w:t>
            </w:r>
            <w:bookmarkStart w:id="613" w:name="xdx_40A_eus-gaap--WarrantsAndRightsOutst"/>
            <w:bookmarkEnd w:id="613"/>
          </w:p>
        </w:tc>
      </w:tr>
      <w:tr>
        <w:trPr/>
        <w:tc>
          <w:tcPr>
            <w:tcW w:w="234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763" w:type="dxa"/>
            <w:tcBorders/>
            <w:shd w:fill="FFFFFF" w:val="clear"/>
            <w:vAlign w:val="center"/>
          </w:tcPr>
          <w:p>
            <w:pPr>
              <w:pStyle w:val="TableContents"/>
              <w:bidi w:val="0"/>
              <w:spacing w:before="0" w:after="283"/>
              <w:jc w:val="right"/>
              <w:rPr/>
            </w:pPr>
            <w:r>
              <w:rPr/>
              <w:t>680.00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jc w:val="right"/>
              <w:rPr/>
            </w:pPr>
            <w:r>
              <w:rPr/>
              <w:t>1,567.20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676" w:type="dxa"/>
            <w:tcBorders/>
            <w:shd w:fill="FFFFFF" w:val="clear"/>
            <w:vAlign w:val="center"/>
          </w:tcPr>
          <w:p>
            <w:pPr>
              <w:pStyle w:val="TableContents"/>
              <w:bidi w:val="0"/>
              <w:spacing w:before="0" w:after="283"/>
              <w:jc w:val="right"/>
              <w:rPr/>
            </w:pPr>
            <w:r>
              <w:rPr/>
              <w:t>81.60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w:t>
            </w:r>
          </w:p>
        </w:tc>
        <w:tc>
          <w:tcPr>
            <w:tcW w:w="1310" w:type="dxa"/>
            <w:tcBorders/>
            <w:shd w:fill="FFFFFF" w:val="clear"/>
            <w:vAlign w:val="center"/>
          </w:tcPr>
          <w:p>
            <w:pPr>
              <w:pStyle w:val="TableContents"/>
              <w:bidi w:val="0"/>
              <w:spacing w:before="0" w:after="283"/>
              <w:jc w:val="right"/>
              <w:rPr/>
            </w:pPr>
            <w:r>
              <w:rPr/>
              <w:t>680.00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jc w:val="right"/>
              <w:rPr/>
            </w:pPr>
            <w:r>
              <w:rPr/>
              <w:t>1,567.20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676" w:type="dxa"/>
            <w:tcBorders/>
            <w:shd w:fill="FFFFFF" w:val="clear"/>
            <w:vAlign w:val="center"/>
          </w:tcPr>
          <w:p>
            <w:pPr>
              <w:pStyle w:val="TableContents"/>
              <w:bidi w:val="0"/>
              <w:spacing w:before="0" w:after="283"/>
              <w:jc w:val="right"/>
              <w:rPr/>
            </w:pPr>
            <w:r>
              <w:rPr/>
              <w:t>81.60</w:t>
            </w:r>
          </w:p>
        </w:tc>
        <w:tc>
          <w:tcPr>
            <w:tcW w:w="230" w:type="dxa"/>
            <w:tcBorders/>
            <w:shd w:fill="FFFFFF" w:val="clear"/>
            <w:vAlign w:val="center"/>
          </w:tcPr>
          <w:p>
            <w:pPr>
              <w:pStyle w:val="TableContents"/>
              <w:bidi w:val="0"/>
              <w:spacing w:before="0" w:after="283"/>
              <w:jc w:val="left"/>
              <w:rPr/>
            </w:pPr>
            <w:r>
              <w:rPr/>
              <w:t> </w:t>
            </w:r>
            <w:bookmarkStart w:id="614" w:name="xdx_40C_eus-gaap--WarrantsAndRightsOutst"/>
            <w:bookmarkEnd w:id="614"/>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3.2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2.3</w:t>
            </w:r>
          </w:p>
        </w:tc>
        <w:tc>
          <w:tcPr>
            <w:tcW w:w="230" w:type="dxa"/>
            <w:tcBorders/>
            <w:shd w:fill="CCEEFF" w:val="clear"/>
            <w:vAlign w:val="center"/>
          </w:tcPr>
          <w:p>
            <w:pPr>
              <w:pStyle w:val="TableContents"/>
              <w:bidi w:val="0"/>
              <w:spacing w:before="0" w:after="283"/>
              <w:jc w:val="left"/>
              <w:rPr/>
            </w:pPr>
            <w:r>
              <w:rPr/>
              <w:t> </w:t>
            </w:r>
            <w:bookmarkStart w:id="615" w:name="xdx_406_eus-gaap--WarrantsAndRightsOutst"/>
            <w:bookmarkEnd w:id="615"/>
          </w:p>
        </w:tc>
      </w:tr>
      <w:tr>
        <w:trPr/>
        <w:tc>
          <w:tcPr>
            <w:tcW w:w="234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135.0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175.0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160.0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115.0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105.0</w:t>
            </w:r>
          </w:p>
        </w:tc>
        <w:tc>
          <w:tcPr>
            <w:tcW w:w="230" w:type="dxa"/>
            <w:tcBorders/>
            <w:shd w:fill="FFFFFF" w:val="clear"/>
            <w:vAlign w:val="center"/>
          </w:tcPr>
          <w:p>
            <w:pPr>
              <w:pStyle w:val="TableContents"/>
              <w:bidi w:val="0"/>
              <w:spacing w:before="0" w:after="283"/>
              <w:jc w:val="left"/>
              <w:rPr/>
            </w:pPr>
            <w:r>
              <w:rPr/>
              <w:t>%</w:t>
            </w:r>
            <w:bookmarkStart w:id="616" w:name="xdx_407_eus-gaap--WarrantsAndRightsOutst"/>
            <w:bookmarkEnd w:id="616"/>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4.0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3.7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3.5</w:t>
            </w:r>
          </w:p>
        </w:tc>
        <w:tc>
          <w:tcPr>
            <w:tcW w:w="230" w:type="dxa"/>
            <w:tcBorders/>
            <w:shd w:fill="CCEEFF" w:val="clear"/>
            <w:vAlign w:val="center"/>
          </w:tcPr>
          <w:p>
            <w:pPr>
              <w:pStyle w:val="TableContents"/>
              <w:bidi w:val="0"/>
              <w:spacing w:before="0" w:after="283"/>
              <w:jc w:val="left"/>
              <w:rPr/>
            </w:pPr>
            <w:r>
              <w:rPr/>
              <w:t>%</w:t>
            </w:r>
            <w:bookmarkStart w:id="617" w:name="xdx_40F_eus-gaap--WarrantsAndRightsOutst"/>
            <w:bookmarkEnd w:id="617"/>
          </w:p>
        </w:tc>
      </w:tr>
      <w:tr>
        <w:trPr/>
        <w:tc>
          <w:tcPr>
            <w:tcW w:w="2345"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bookmarkStart w:id="618" w:name="xdx_401_eus-gaap--WarrantsAndRightsOutst"/>
            <w:bookmarkEnd w:id="618"/>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outstanding input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9" w:name="xdx_8A6_z0UOmNDWcFt7"/>
      <w:bookmarkEnd w:id="619"/>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 liability related to the ELOC Purchase Agreement (described in Note 6) was originally valued using the Monte Carlo simulation model and as such is considered to be a Level 3 fair value measurement, as the fair value was determined based on significant inputs not observable in the market. The significant unobservable inputs used to determine the fair value were the projected volume weighed average share price at each trading date, and the use of the maximum draw down potential. The fair value of the ELOC Purchase Agreement on December 31, 2025, was $</w:t>
      </w:r>
      <w:bookmarkStart w:id="620" w:name="xdx_905_eus-gaap--DerivativeLiabilities_"/>
      <w:bookmarkEnd w:id="620"/>
      <w:r>
        <w:rPr>
          <w:rFonts w:ascii="Times New Roman;Times;Serif" w:hAnsi="Times New Roman;Times;Serif"/>
          <w:b w:val="false"/>
          <w:i w:val="false"/>
          <w:caps w:val="false"/>
          <w:smallCaps w:val="false"/>
          <w:sz w:val="20"/>
        </w:rPr>
        <w:t>230,000 based on the projected stock price of $</w:t>
      </w:r>
      <w:bookmarkStart w:id="621" w:name="xdx_908_eus-gaap--DerivativeLiabilityMea"/>
      <w:bookmarkEnd w:id="621"/>
      <w:r>
        <w:rPr>
          <w:rFonts w:ascii="Times New Roman;Times;Serif" w:hAnsi="Times New Roman;Times;Serif"/>
          <w:b w:val="false"/>
          <w:i w:val="false"/>
          <w:caps w:val="false"/>
          <w:smallCaps w:val="false"/>
          <w:sz w:val="20"/>
        </w:rPr>
        <w:t xml:space="preserve">0.29, expected volatility of </w:t>
      </w:r>
      <w:bookmarkStart w:id="622" w:name="xdx_90E_eus-gaap--DerivativeLiabilityMea"/>
      <w:bookmarkEnd w:id="622"/>
      <w:r>
        <w:rPr>
          <w:rFonts w:ascii="Times New Roman;Times;Serif" w:hAnsi="Times New Roman;Times;Serif"/>
          <w:b w:val="false"/>
          <w:i w:val="false"/>
          <w:caps w:val="false"/>
          <w:smallCaps w:val="false"/>
          <w:sz w:val="20"/>
        </w:rPr>
        <w:t xml:space="preserve">102.5%, risk-free rate of </w:t>
      </w:r>
      <w:bookmarkStart w:id="623" w:name="xdx_900_eus-gaap--DerivativeLiabilityMea"/>
      <w:bookmarkEnd w:id="623"/>
      <w:r>
        <w:rPr>
          <w:rFonts w:ascii="Times New Roman;Times;Serif" w:hAnsi="Times New Roman;Times;Serif"/>
          <w:b w:val="false"/>
          <w:i w:val="false"/>
          <w:caps w:val="false"/>
          <w:smallCaps w:val="false"/>
          <w:sz w:val="20"/>
        </w:rPr>
        <w:t xml:space="preserve">3.46% and discounted at </w:t>
      </w:r>
      <w:bookmarkStart w:id="624" w:name="xdx_90E_eus-gaap--DerivativeLiabilityMea"/>
      <w:bookmarkEnd w:id="624"/>
      <w:r>
        <w:rPr>
          <w:rFonts w:ascii="Times New Roman;Times;Serif" w:hAnsi="Times New Roman;Times;Serif"/>
          <w:b w:val="false"/>
          <w:i w:val="false"/>
          <w:caps w:val="false"/>
          <w:smallCaps w:val="false"/>
          <w:sz w:val="20"/>
        </w:rPr>
        <w:t>71.3% for the probability of the Company timely filing all SEC documents and meeting the NASDAQ listing requirements. As of June 30, 2026, the Company determined the fair value of the ELOC Purchase Agreement to have no value. The difference of $</w:t>
      </w:r>
      <w:bookmarkStart w:id="625" w:name="xdx_900_eus-gaap--IncreaseDecreaseInDeri"/>
      <w:bookmarkEnd w:id="625"/>
      <w:r>
        <w:rPr>
          <w:rFonts w:ascii="Times New Roman;Times;Serif" w:hAnsi="Times New Roman;Times;Serif"/>
          <w:b w:val="false"/>
          <w:i w:val="false"/>
          <w:caps w:val="false"/>
          <w:smallCaps w:val="false"/>
          <w:sz w:val="20"/>
        </w:rPr>
        <w:t>0.2 million was recognized as a change of fair value of derivative liability in the unaudited condensed consolidated statement of operations and comprehensive loss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Measured at Fair Value on a Nonrecurring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goodwill and IPR&amp;D are measured at fair value on a nonrecurring basis. These assets are reported at carrying value and are remeasured annually or whenever events or changes in circumstances indicate that their carrying value may not be fully recoverable. When impairment has occurred, the Company records the required charges and adjusts the carrying value as discussed in Note 2. </w:t>
      </w:r>
      <w:r>
        <w:rPr>
          <w:rFonts w:ascii="Times New Roman;Times;Serif" w:hAnsi="Times New Roman;Times;Serif"/>
          <w:b w:val="false"/>
          <w:i/>
          <w:caps w:val="false"/>
          <w:smallCaps w:val="false"/>
          <w:sz w:val="20"/>
        </w:rPr>
        <w:t>Summary of Significant Accounting Policies</w:t>
      </w:r>
      <w:r>
        <w:rPr>
          <w:rFonts w:ascii="Times New Roman;Times;Serif" w:hAnsi="Times New Roman;Times;Serif"/>
          <w:b w:val="false"/>
          <w:i w:val="false"/>
          <w:caps w:val="false"/>
          <w:smallCaps w:val="false"/>
          <w:sz w:val="20"/>
        </w:rPr>
        <w:t xml:space="preserve"> of the notes to the consolidated financial statements in the Company’s 2025 Form 10-K. As a result of the impairment analysis performed during the quarter ended March 31, 2026, using Level 3 inputs, the Company determined the fair value of its AKTX-101 IPR&amp;D asset to be $</w:t>
      </w:r>
      <w:bookmarkStart w:id="626" w:name="xdx_904_eus-gaap--ImpairmentOfIntangible"/>
      <w:bookmarkEnd w:id="626"/>
      <w:r>
        <w:rPr>
          <w:rFonts w:ascii="Times New Roman;Times;Serif" w:hAnsi="Times New Roman;Times;Serif"/>
          <w:b w:val="false"/>
          <w:i w:val="false"/>
          <w:caps w:val="false"/>
          <w:smallCaps w:val="false"/>
          <w:sz w:val="20"/>
        </w:rPr>
        <w:t>30.3 million and recorded a non-cash impairment charge of $</w:t>
      </w:r>
      <w:bookmarkStart w:id="627" w:name="xdx_904_eus-gaap--ImpairmentOfIntangible"/>
      <w:bookmarkEnd w:id="627"/>
      <w:r>
        <w:rPr>
          <w:rFonts w:ascii="Times New Roman;Times;Serif" w:hAnsi="Times New Roman;Times;Serif"/>
          <w:b w:val="false"/>
          <w:i w:val="false"/>
          <w:caps w:val="false"/>
          <w:smallCaps w:val="false"/>
          <w:sz w:val="20"/>
        </w:rPr>
        <w:t>3.7 million to its AKTX-101 IPR&amp;D asset and determined the fair value of its reporting unit to be less than its carrying value by an amount that resulted in a non-cash impairment charge of $</w:t>
      </w:r>
      <w:bookmarkStart w:id="628" w:name="xdx_90B_eus-gaap--GoodwillImpairmentLoss"/>
      <w:bookmarkEnd w:id="628"/>
      <w:r>
        <w:rPr>
          <w:rFonts w:ascii="Times New Roman;Times;Serif" w:hAnsi="Times New Roman;Times;Serif"/>
          <w:b w:val="false"/>
          <w:i w:val="false"/>
          <w:caps w:val="false"/>
          <w:smallCaps w:val="false"/>
          <w:sz w:val="20"/>
        </w:rPr>
        <w:t xml:space="preserve">8.4 million to goodwill. There was </w:t>
      </w:r>
      <w:bookmarkStart w:id="629" w:name="xdx_905_eus-gaap--GoodwillImpairmentLoss"/>
      <w:bookmarkStart w:id="630" w:name="xdx_907_eus-gaap--GoodwillImpairmentLoss"/>
      <w:bookmarkStart w:id="631" w:name="xdx_907_eus-gaap--GoodwillImpairmentLoss"/>
      <w:bookmarkStart w:id="632" w:name="xdx_900_eus-gaap--GoodwillImpairmentLoss"/>
      <w:bookmarkEnd w:id="629"/>
      <w:bookmarkEnd w:id="630"/>
      <w:bookmarkEnd w:id="631"/>
      <w:bookmarkEnd w:id="632"/>
      <w:r>
        <w:rPr>
          <w:rFonts w:ascii="Times New Roman;Times;Serif" w:hAnsi="Times New Roman;Times;Serif"/>
          <w:b w:val="false"/>
          <w:i w:val="false"/>
          <w:caps w:val="false"/>
          <w:smallCaps w:val="false"/>
          <w:sz w:val="20"/>
        </w:rPr>
        <w:t>no impairment charge to the Company’s goodwill and IPR&amp;D assets during the three months ended June 30, 2026 and 2025 and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3" w:name="xdx_807_eus-gaap--EarningsPerShareTextBl"/>
      <w:bookmarkEnd w:id="633"/>
      <w:r>
        <w:rPr>
          <w:rFonts w:ascii="Times New Roman;Times;Serif" w:hAnsi="Times New Roman;Times;Serif"/>
          <w:b/>
          <w:i w:val="false"/>
          <w:caps w:val="false"/>
          <w:smallCaps w:val="false"/>
          <w:sz w:val="20"/>
        </w:rPr>
        <w:t xml:space="preserve">Note 9. </w:t>
      </w:r>
      <w:bookmarkStart w:id="634" w:name="xdx_82E_zqqHABI30odi"/>
      <w:bookmarkEnd w:id="634"/>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potential dilutive securities, presented based on amounts outstanding at the end of each reporting period, have been excluded from the calculation of diluted net loss per share because including them would have had an anti-dilutive impact:</w:t>
      </w:r>
    </w:p>
    <w:p>
      <w:pPr>
        <w:pStyle w:val="TextBody"/>
        <w:bidi w:val="0"/>
        <w:spacing w:before="0" w:after="0"/>
        <w:ind w:left="0" w:right="0" w:hanging="0"/>
        <w:jc w:val="left"/>
        <w:rPr>
          <w:caps w:val="false"/>
          <w:smallCaps w:val="false"/>
        </w:rPr>
      </w:pPr>
      <w:bookmarkStart w:id="635" w:name="xdx_899_eus-gaap--ScheduleOfAntidilutive"/>
      <w:bookmarkEnd w:id="635"/>
      <w:r>
        <w:rPr>
          <w:caps w:val="false"/>
          <w:smallCaps w:val="false"/>
        </w:rPr>
        <w:t> </w:t>
      </w:r>
      <w:bookmarkStart w:id="636" w:name="xdx_8BB_ztbekRTVoEu5"/>
      <w:bookmarkEnd w:id="636"/>
      <w:r>
        <w:rPr>
          <w:rFonts w:ascii="Times New Roman;Times;Serif" w:hAnsi="Times New Roman;Times;Serif"/>
          <w:b w:val="false"/>
          <w:i w:val="false"/>
          <w:caps w:val="false"/>
          <w:smallCaps w:val="false"/>
          <w:sz w:val="20"/>
        </w:rPr>
        <w:t>Schedule of Antidilutive Securities Excluded From Computation of Earnings Per Share</w:t>
      </w:r>
    </w:p>
    <w:tbl>
      <w:tblPr>
        <w:tblW w:w="5580" w:type="dxa"/>
        <w:jc w:val="left"/>
        <w:tblInd w:w="0" w:type="dxa"/>
        <w:tblLayout w:type="fixed"/>
        <w:tblCellMar>
          <w:top w:w="0" w:type="dxa"/>
          <w:left w:w="0" w:type="dxa"/>
          <w:bottom w:w="0" w:type="dxa"/>
          <w:right w:w="0" w:type="dxa"/>
        </w:tblCellMar>
      </w:tblPr>
      <w:tblGrid>
        <w:gridCol w:w="2045"/>
        <w:gridCol w:w="60"/>
        <w:gridCol w:w="60"/>
        <w:gridCol w:w="1640"/>
        <w:gridCol w:w="60"/>
        <w:gridCol w:w="60"/>
        <w:gridCol w:w="60"/>
        <w:gridCol w:w="1520"/>
        <w:gridCol w:w="7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7" w:name="xdx_49C_20260101__20260630_zgDq1u2jfIx8"/>
            <w:bookmarkEnd w:id="637"/>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8" w:name="xdx_499_20250101__20250630_zADLfeK8gmJ2"/>
            <w:bookmarkEnd w:id="638"/>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June 30,</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639" w:name="xdx_402_eus-gaap--AntidilutiveSecurities"/>
            <w:bookmarkEnd w:id="639"/>
          </w:p>
        </w:tc>
      </w:tr>
      <w:tr>
        <w:trPr/>
        <w:tc>
          <w:tcPr>
            <w:tcW w:w="204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18,855,663,000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14,339,239,000</w:t>
            </w:r>
          </w:p>
        </w:tc>
        <w:tc>
          <w:tcPr>
            <w:tcW w:w="75" w:type="dxa"/>
            <w:tcBorders/>
            <w:shd w:fill="CCEEFF" w:val="clear"/>
            <w:vAlign w:val="center"/>
          </w:tcPr>
          <w:p>
            <w:pPr>
              <w:pStyle w:val="TableContents"/>
              <w:bidi w:val="0"/>
              <w:spacing w:before="0" w:after="283"/>
              <w:jc w:val="left"/>
              <w:rPr/>
            </w:pPr>
            <w:r>
              <w:rPr/>
              <w:t> </w:t>
            </w:r>
            <w:bookmarkStart w:id="640" w:name="xdx_40E_eus-gaap--AntidilutiveSecurities"/>
            <w:bookmarkEnd w:id="640"/>
          </w:p>
        </w:tc>
      </w:tr>
      <w:tr>
        <w:trPr/>
        <w:tc>
          <w:tcPr>
            <w:tcW w:w="2045"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1,636,080,000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41" w:name="xdx_402_eus-gaap--AntidilutiveSecurities"/>
            <w:bookmarkEnd w:id="641"/>
          </w:p>
        </w:tc>
      </w:tr>
      <w:tr>
        <w:trPr/>
        <w:tc>
          <w:tcPr>
            <w:tcW w:w="204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443,267,159,200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49,679,308,000</w:t>
            </w:r>
          </w:p>
        </w:tc>
        <w:tc>
          <w:tcPr>
            <w:tcW w:w="75" w:type="dxa"/>
            <w:tcBorders/>
            <w:shd w:fill="CCEEFF" w:val="clear"/>
            <w:vAlign w:val="center"/>
          </w:tcPr>
          <w:p>
            <w:pPr>
              <w:pStyle w:val="TableContents"/>
              <w:bidi w:val="0"/>
              <w:spacing w:before="0" w:after="283"/>
              <w:jc w:val="left"/>
              <w:rPr/>
            </w:pPr>
            <w:r>
              <w:rPr/>
              <w:t> </w:t>
            </w:r>
            <w:bookmarkStart w:id="642" w:name="xdx_402_eus-gaap--AntidilutiveSecurities"/>
            <w:bookmarkEnd w:id="642"/>
          </w:p>
        </w:tc>
      </w:tr>
      <w:tr>
        <w:trPr/>
        <w:tc>
          <w:tcPr>
            <w:tcW w:w="2045"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pPr>
            <w:r>
              <w:rPr/>
              <w:t>1,832,118,000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FFFFFF" w:val="clear"/>
            <w:tcMar>
              <w:bottom w:w="28" w:type="dxa"/>
            </w:tcMar>
            <w:vAlign w:val="center"/>
          </w:tcPr>
          <w:p>
            <w:pPr>
              <w:pStyle w:val="TableContents"/>
              <w:bidi w:val="0"/>
              <w:spacing w:before="0" w:after="283"/>
              <w:jc w:val="right"/>
              <w:rPr/>
            </w:pPr>
            <w:r>
              <w:rPr/>
              <w:t>749,192,000</w:t>
            </w:r>
          </w:p>
        </w:tc>
        <w:tc>
          <w:tcPr>
            <w:tcW w:w="75" w:type="dxa"/>
            <w:tcBorders/>
            <w:shd w:fill="FFFFFF" w:val="clear"/>
            <w:vAlign w:val="center"/>
          </w:tcPr>
          <w:p>
            <w:pPr>
              <w:pStyle w:val="TableContents"/>
              <w:bidi w:val="0"/>
              <w:spacing w:before="0" w:after="283"/>
              <w:jc w:val="left"/>
              <w:rPr/>
            </w:pPr>
            <w:r>
              <w:rPr/>
              <w:t> </w:t>
            </w:r>
            <w:bookmarkStart w:id="643" w:name="xdx_40F_eus-gaap--AntidilutiveSecurities"/>
            <w:bookmarkEnd w:id="643"/>
          </w:p>
        </w:tc>
      </w:tr>
      <w:tr>
        <w:trPr/>
        <w:tc>
          <w:tcPr>
            <w:tcW w:w="20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465,591,020,200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double" w:sz="6" w:space="0" w:color="000000"/>
            </w:tcBorders>
            <w:shd w:fill="CCEEFF" w:val="clear"/>
            <w:tcMar>
              <w:bottom w:w="28" w:type="dxa"/>
            </w:tcMar>
            <w:vAlign w:val="center"/>
          </w:tcPr>
          <w:p>
            <w:pPr>
              <w:pStyle w:val="TableContents"/>
              <w:bidi w:val="0"/>
              <w:spacing w:before="0" w:after="283"/>
              <w:jc w:val="right"/>
              <w:rPr/>
            </w:pPr>
            <w:r>
              <w:rPr/>
              <w:t>64,767,739,000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44" w:name="xdx_8A4_zXQSAQB3HOY2"/>
      <w:bookmarkEnd w:id="64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5" w:name="xdx_800_eus-gaap--IncomeTaxDisclosureTex"/>
      <w:bookmarkEnd w:id="645"/>
      <w:r>
        <w:rPr>
          <w:rFonts w:ascii="Times New Roman;Times;Serif" w:hAnsi="Times New Roman;Times;Serif"/>
          <w:b/>
          <w:i w:val="false"/>
          <w:caps w:val="false"/>
          <w:smallCaps w:val="false"/>
          <w:sz w:val="20"/>
        </w:rPr>
        <w:t xml:space="preserve">Note 10. </w:t>
      </w:r>
      <w:bookmarkStart w:id="646" w:name="xdx_826_zT4ojnwSYOL"/>
      <w:bookmarkEnd w:id="646"/>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270, </w:t>
      </w:r>
      <w:r>
        <w:rPr>
          <w:rFonts w:ascii="Times New Roman;Times;Serif" w:hAnsi="Times New Roman;Times;Serif"/>
          <w:b w:val="false"/>
          <w:i/>
          <w:caps w:val="false"/>
          <w:smallCaps w:val="false"/>
          <w:sz w:val="20"/>
        </w:rPr>
        <w:t>Interim Reporting</w:t>
      </w:r>
      <w:r>
        <w:rPr>
          <w:rFonts w:ascii="Times New Roman;Times;Serif" w:hAnsi="Times New Roman;Times;Serif"/>
          <w:b w:val="false"/>
          <w:i w:val="false"/>
          <w:caps w:val="false"/>
          <w:smallCaps w:val="false"/>
          <w:sz w:val="20"/>
        </w:rPr>
        <w:t xml:space="preserve">, and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the Company is required at the end of each interim period to determine the best estimate of its annual effective tax rate and then apply that rate in providing for income taxes on a current year-to-date (interim period) basis. The Company recorded an income tax benefit of $</w:t>
      </w:r>
      <w:bookmarkStart w:id="647" w:name="xdx_900_eus-gaap--IncomeTaxExpenseBenefi"/>
      <w:bookmarkEnd w:id="647"/>
      <w:r>
        <w:rPr>
          <w:rFonts w:ascii="Times New Roman;Times;Serif" w:hAnsi="Times New Roman;Times;Serif"/>
          <w:b w:val="false"/>
          <w:i w:val="false"/>
          <w:caps w:val="false"/>
          <w:smallCaps w:val="false"/>
          <w:sz w:val="20"/>
        </w:rPr>
        <w:t xml:space="preserve">0.8 million for the six months ended June 30, 2026, in connection with the impairment loss on other intangible assets. For the three months ended June 30, 2026 and 2025, the Company recorded </w:t>
      </w:r>
      <w:bookmarkStart w:id="648" w:name="xdx_90B_eus-gaap--IncomeTaxExpenseBenefi"/>
      <w:bookmarkStart w:id="649" w:name="xdx_90A_eus-gaap--IncomeTaxExpenseBenefi"/>
      <w:bookmarkEnd w:id="648"/>
      <w:bookmarkEnd w:id="649"/>
      <w:r>
        <w:rPr>
          <w:rFonts w:ascii="Times New Roman;Times;Serif" w:hAnsi="Times New Roman;Times;Serif"/>
          <w:b w:val="false"/>
          <w:i w:val="false"/>
          <w:caps w:val="false"/>
          <w:smallCaps w:val="false"/>
          <w:sz w:val="20"/>
        </w:rPr>
        <w:t xml:space="preserve">no tax expense or benefit due to the expected current year loss and its historical losses. The Company has not recorded its net deferred tax asset as of either June 30, 2026, or December 31, 2025, because it maintained a full valuation allowance against all deferred tax assets as of these dates as management has determined that it is not more likely than not that the Company will realize these future tax benefits. As of June 30, 2026, and December 31, 2025, the Company had </w:t>
      </w:r>
      <w:bookmarkStart w:id="650" w:name="xdx_90C_eus-gaap--UnrecognizedTaxBenefit"/>
      <w:bookmarkStart w:id="651" w:name="xdx_901_eus-gaap--UnrecognizedTaxBenefit"/>
      <w:bookmarkEnd w:id="650"/>
      <w:bookmarkEnd w:id="651"/>
      <w:r>
        <w:rPr>
          <w:rFonts w:ascii="Times New Roman;Times;Serif" w:hAnsi="Times New Roman;Times;Serif"/>
          <w:b w:val="false"/>
          <w:i w:val="false"/>
          <w:caps w:val="false"/>
          <w:smallCaps w:val="false"/>
          <w:sz w:val="20"/>
        </w:rPr>
        <w:t>no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2" w:name="xdx_801_eus-gaap--SegmentReportingDisclo"/>
      <w:bookmarkEnd w:id="652"/>
      <w:r>
        <w:rPr>
          <w:rFonts w:ascii="Times New Roman;Times;Serif" w:hAnsi="Times New Roman;Times;Serif"/>
          <w:b/>
          <w:i w:val="false"/>
          <w:caps w:val="false"/>
          <w:smallCaps w:val="false"/>
          <w:sz w:val="20"/>
        </w:rPr>
        <w:t xml:space="preserve">Note 11. </w:t>
      </w:r>
      <w:bookmarkStart w:id="653" w:name="xdx_821_zg7YrfZHUqPe"/>
      <w:bookmarkEnd w:id="653"/>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its operations as a single</w:t>
      </w:r>
      <w:bookmarkStart w:id="654" w:name="xdx_90B_eus-gaap--NumberOfReportableSegm"/>
      <w:bookmarkStart w:id="655" w:name="xdx_907_eus-gaap--NumberOfOperatingSegme"/>
      <w:bookmarkEnd w:id="654"/>
      <w:bookmarkEnd w:id="655"/>
      <w:r>
        <w:rPr>
          <w:rFonts w:ascii="Times New Roman;Times;Serif" w:hAnsi="Times New Roman;Times;Serif"/>
          <w:b w:val="false"/>
          <w:i w:val="false"/>
          <w:caps w:val="false"/>
          <w:smallCaps w:val="false"/>
          <w:sz w:val="20"/>
        </w:rPr>
        <w:t>one operating segment for the purpose of assessing performance, making operating decisions and allocating resources, resulting in a single reportable segment. The Company has determined that its Chief Operating Decision Maker (“CODM”) is its Chief Executive Officer. The Company’s CODM reviews the Company’s financial information on a consolidated basis for the purpose of allocating resources and assessing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assembled a portfolio of preclinical product candidates that aim to develop next-generation precision bifunctional ADCs for the treatment of cancer. The Company has not generated any revenue since its inception and does not expect to generate any revenue from the sale of products in the near future. The Company primarily incurs expenses in connection with the research and development of its product candidates as well as general and administrative costs consisting of salaries and related costs for personnel in executive, finance, and administrative functions, as well as consulting, restructuring and merger-related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6" w:name="xdx_90C_eus-gaap--SegmentReportingExpens"/>
      <w:bookmarkEnd w:id="656"/>
      <w:r>
        <w:rPr>
          <w:rFonts w:ascii="Times New Roman;Times;Serif" w:hAnsi="Times New Roman;Times;Serif"/>
          <w:b w:val="false"/>
          <w:i w:val="false"/>
          <w:caps w:val="false"/>
          <w:smallCaps w:val="false"/>
          <w:sz w:val="20"/>
        </w:rPr>
        <w:t>The key measure of segment profit or loss that the CODM uses to allocate resources and assess performance is the Company’s consolidated net loss, as reported on the consolidated statements of operations and comprehensive loss. In addition, the CODM is regularly provided the following significant segment expense categories which are reviewed against budgeted expectations to assist in resource allocation decision-making:</w:t>
      </w:r>
    </w:p>
    <w:p>
      <w:pPr>
        <w:pStyle w:val="TextBody"/>
        <w:bidi w:val="0"/>
        <w:spacing w:before="0" w:after="0"/>
        <w:ind w:left="0" w:right="0" w:hanging="0"/>
        <w:jc w:val="both"/>
        <w:rPr>
          <w:caps w:val="false"/>
          <w:smallCaps w:val="false"/>
        </w:rPr>
      </w:pPr>
      <w:bookmarkStart w:id="657" w:name="xdx_896_eus-gaap--ScheduleOfSegmentRepor"/>
      <w:bookmarkEnd w:id="657"/>
      <w:r>
        <w:rPr>
          <w:caps w:val="false"/>
          <w:smallCaps w:val="false"/>
        </w:rPr>
        <w:t> </w:t>
      </w:r>
      <w:bookmarkStart w:id="658" w:name="xdx_8B5_zc2qTeQ8lzWl"/>
      <w:bookmarkEnd w:id="658"/>
      <w:r>
        <w:rPr>
          <w:rFonts w:ascii="Times New Roman;Times;Serif" w:hAnsi="Times New Roman;Times;Serif"/>
          <w:b w:val="false"/>
          <w:i w:val="false"/>
          <w:caps w:val="false"/>
          <w:smallCaps w:val="false"/>
          <w:sz w:val="20"/>
        </w:rPr>
        <w:t>Schedule of Significant Segment Expense Categories</w:t>
      </w:r>
    </w:p>
    <w:tbl>
      <w:tblPr>
        <w:tblW w:w="10205" w:type="dxa"/>
        <w:jc w:val="left"/>
        <w:tblInd w:w="0" w:type="dxa"/>
        <w:tblLayout w:type="fixed"/>
        <w:tblCellMar>
          <w:top w:w="0" w:type="dxa"/>
          <w:left w:w="0" w:type="dxa"/>
          <w:bottom w:w="28" w:type="dxa"/>
          <w:right w:w="0" w:type="dxa"/>
        </w:tblCellMar>
      </w:tblPr>
      <w:tblGrid>
        <w:gridCol w:w="4587"/>
        <w:gridCol w:w="60"/>
        <w:gridCol w:w="224"/>
        <w:gridCol w:w="1020"/>
        <w:gridCol w:w="152"/>
        <w:gridCol w:w="95"/>
        <w:gridCol w:w="224"/>
        <w:gridCol w:w="1020"/>
        <w:gridCol w:w="95"/>
        <w:gridCol w:w="60"/>
        <w:gridCol w:w="195"/>
        <w:gridCol w:w="1056"/>
        <w:gridCol w:w="132"/>
        <w:gridCol w:w="83"/>
        <w:gridCol w:w="195"/>
        <w:gridCol w:w="888"/>
        <w:gridCol w:w="119"/>
      </w:tblGrid>
      <w:tr>
        <w:trPr/>
        <w:tc>
          <w:tcPr>
            <w:tcW w:w="4587"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bookmarkStart w:id="659" w:name="xdx_494_20260401__20260630_zTrH56OMsp2k"/>
            <w:bookmarkEnd w:id="659"/>
          </w:p>
        </w:tc>
        <w:tc>
          <w:tcPr>
            <w:tcW w:w="1244" w:type="dxa"/>
            <w:gridSpan w:val="2"/>
            <w:tcBorders>
              <w:bottom w:val="single" w:sz="8" w:space="0" w:color="000000"/>
            </w:tcBorders>
            <w:vAlign w:val="center"/>
          </w:tcPr>
          <w:p>
            <w:pPr>
              <w:pStyle w:val="TableContents"/>
              <w:bidi w:val="0"/>
              <w:spacing w:before="0" w:after="283"/>
              <w:jc w:val="center"/>
              <w:rPr>
                <w:b/>
              </w:rPr>
            </w:pPr>
            <w:r>
              <w:rPr>
                <w:b/>
              </w:rPr>
              <w:t>2026</w:t>
            </w:r>
          </w:p>
        </w:tc>
        <w:tc>
          <w:tcPr>
            <w:tcW w:w="152"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bookmarkStart w:id="660" w:name="xdx_492_20250401__20250630_zy43sAjyZ8n1"/>
            <w:bookmarkEnd w:id="660"/>
          </w:p>
        </w:tc>
        <w:tc>
          <w:tcPr>
            <w:tcW w:w="1244"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61" w:name="xdx_497_20260101__20260630_zRbKOoUrLPhk"/>
            <w:bookmarkEnd w:id="661"/>
          </w:p>
        </w:tc>
        <w:tc>
          <w:tcPr>
            <w:tcW w:w="1251" w:type="dxa"/>
            <w:gridSpan w:val="2"/>
            <w:tcBorders>
              <w:bottom w:val="single" w:sz="8" w:space="0" w:color="000000"/>
            </w:tcBorders>
            <w:vAlign w:val="center"/>
          </w:tcPr>
          <w:p>
            <w:pPr>
              <w:pStyle w:val="TableContents"/>
              <w:bidi w:val="0"/>
              <w:spacing w:before="0" w:after="283"/>
              <w:jc w:val="center"/>
              <w:rPr>
                <w:b/>
              </w:rPr>
            </w:pPr>
            <w:r>
              <w:rPr>
                <w:b/>
              </w:rPr>
              <w:t>2026</w:t>
            </w:r>
          </w:p>
        </w:tc>
        <w:tc>
          <w:tcPr>
            <w:tcW w:w="132" w:type="dxa"/>
            <w:tcBorders/>
            <w:tcMar>
              <w:bottom w:w="0" w:type="dxa"/>
            </w:tcMar>
            <w:vAlign w:val="center"/>
          </w:tcPr>
          <w:p>
            <w:pPr>
              <w:pStyle w:val="TableContents"/>
              <w:bidi w:val="0"/>
              <w:spacing w:before="0" w:after="283"/>
              <w:jc w:val="left"/>
              <w:rPr/>
            </w:pPr>
            <w:r>
              <w:rPr/>
              <w:t> </w:t>
            </w:r>
          </w:p>
        </w:tc>
        <w:tc>
          <w:tcPr>
            <w:tcW w:w="83" w:type="dxa"/>
            <w:tcBorders/>
            <w:tcMar>
              <w:bottom w:w="0" w:type="dxa"/>
            </w:tcMar>
            <w:vAlign w:val="center"/>
          </w:tcPr>
          <w:p>
            <w:pPr>
              <w:pStyle w:val="TableContents"/>
              <w:bidi w:val="0"/>
              <w:spacing w:before="0" w:after="283"/>
              <w:jc w:val="left"/>
              <w:rPr/>
            </w:pPr>
            <w:r>
              <w:rPr/>
              <w:t> </w:t>
            </w:r>
            <w:bookmarkStart w:id="662" w:name="xdx_49D_20250101__20250630_zbkcoCRidh7l"/>
            <w:bookmarkEnd w:id="662"/>
          </w:p>
        </w:tc>
        <w:tc>
          <w:tcPr>
            <w:tcW w:w="1083" w:type="dxa"/>
            <w:gridSpan w:val="2"/>
            <w:tcBorders>
              <w:bottom w:val="single" w:sz="8" w:space="0" w:color="000000"/>
            </w:tcBorders>
            <w:vAlign w:val="center"/>
          </w:tcPr>
          <w:p>
            <w:pPr>
              <w:pStyle w:val="TableContents"/>
              <w:bidi w:val="0"/>
              <w:spacing w:before="0" w:after="283"/>
              <w:jc w:val="center"/>
              <w:rPr>
                <w:b/>
              </w:rPr>
            </w:pPr>
            <w:r>
              <w:rPr>
                <w:b/>
              </w:rPr>
              <w:t>2025</w:t>
            </w:r>
          </w:p>
        </w:tc>
        <w:tc>
          <w:tcPr>
            <w:tcW w:w="119" w:type="dxa"/>
            <w:tcBorders/>
            <w:tcMar>
              <w:bottom w:w="0" w:type="dxa"/>
            </w:tcMar>
            <w:vAlign w:val="center"/>
          </w:tcPr>
          <w:p>
            <w:pPr>
              <w:pStyle w:val="TableContents"/>
              <w:bidi w:val="0"/>
              <w:spacing w:before="0" w:after="283"/>
              <w:jc w:val="left"/>
              <w:rPr/>
            </w:pPr>
            <w:r>
              <w:rPr/>
              <w:t> </w:t>
            </w:r>
          </w:p>
        </w:tc>
      </w:tr>
      <w:tr>
        <w:trPr/>
        <w:tc>
          <w:tcPr>
            <w:tcW w:w="458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735" w:type="dxa"/>
            <w:gridSpan w:val="6"/>
            <w:tcBorders>
              <w:bottom w:val="single" w:sz="8" w:space="0" w:color="000000"/>
            </w:tcBorders>
            <w:vAlign w:val="center"/>
          </w:tcPr>
          <w:p>
            <w:pPr>
              <w:pStyle w:val="TableContents"/>
              <w:bidi w:val="0"/>
              <w:spacing w:before="0" w:after="283"/>
              <w:jc w:val="center"/>
              <w:rPr>
                <w:b/>
              </w:rPr>
            </w:pPr>
            <w:r>
              <w:rPr>
                <w:b/>
              </w:rPr>
              <w:t>Three Months Ended June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49" w:type="dxa"/>
            <w:gridSpan w:val="6"/>
            <w:tcBorders>
              <w:bottom w:val="single" w:sz="8" w:space="0" w:color="000000"/>
            </w:tcBorders>
            <w:vAlign w:val="center"/>
          </w:tcPr>
          <w:p>
            <w:pPr>
              <w:pStyle w:val="TableContents"/>
              <w:bidi w:val="0"/>
              <w:spacing w:before="0" w:after="283"/>
              <w:jc w:val="center"/>
              <w:rPr>
                <w:b/>
              </w:rPr>
            </w:pPr>
            <w:r>
              <w:rPr>
                <w:b/>
              </w:rPr>
              <w:t>Six Months Ended June 30,</w:t>
            </w:r>
          </w:p>
        </w:tc>
        <w:tc>
          <w:tcPr>
            <w:tcW w:w="119" w:type="dxa"/>
            <w:tcBorders/>
            <w:tcMar>
              <w:bottom w:w="0" w:type="dxa"/>
            </w:tcMar>
            <w:vAlign w:val="center"/>
          </w:tcPr>
          <w:p>
            <w:pPr>
              <w:pStyle w:val="TableContents"/>
              <w:bidi w:val="0"/>
              <w:spacing w:before="0" w:after="283"/>
              <w:jc w:val="left"/>
              <w:rPr/>
            </w:pPr>
            <w:r>
              <w:rPr/>
              <w:t> </w:t>
            </w:r>
          </w:p>
        </w:tc>
      </w:tr>
      <w:tr>
        <w:trPr/>
        <w:tc>
          <w:tcPr>
            <w:tcW w:w="4587"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244" w:type="dxa"/>
            <w:gridSpan w:val="2"/>
            <w:tcBorders>
              <w:bottom w:val="single" w:sz="8" w:space="0" w:color="000000"/>
            </w:tcBorders>
            <w:vAlign w:val="center"/>
          </w:tcPr>
          <w:p>
            <w:pPr>
              <w:pStyle w:val="TableContents"/>
              <w:bidi w:val="0"/>
              <w:spacing w:before="0" w:after="283"/>
              <w:jc w:val="center"/>
              <w:rPr>
                <w:b/>
              </w:rPr>
            </w:pPr>
            <w:r>
              <w:rPr>
                <w:b/>
              </w:rPr>
              <w:t>2026</w:t>
            </w:r>
          </w:p>
        </w:tc>
        <w:tc>
          <w:tcPr>
            <w:tcW w:w="152"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1244"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1" w:type="dxa"/>
            <w:gridSpan w:val="2"/>
            <w:tcBorders>
              <w:bottom w:val="single" w:sz="8" w:space="0" w:color="000000"/>
            </w:tcBorders>
            <w:vAlign w:val="center"/>
          </w:tcPr>
          <w:p>
            <w:pPr>
              <w:pStyle w:val="TableContents"/>
              <w:bidi w:val="0"/>
              <w:spacing w:before="0" w:after="283"/>
              <w:jc w:val="center"/>
              <w:rPr>
                <w:b/>
              </w:rPr>
            </w:pPr>
            <w:r>
              <w:rPr>
                <w:b/>
              </w:rPr>
              <w:t>2026</w:t>
            </w:r>
          </w:p>
        </w:tc>
        <w:tc>
          <w:tcPr>
            <w:tcW w:w="132" w:type="dxa"/>
            <w:tcBorders/>
            <w:tcMar>
              <w:bottom w:w="0" w:type="dxa"/>
            </w:tcMar>
            <w:vAlign w:val="center"/>
          </w:tcPr>
          <w:p>
            <w:pPr>
              <w:pStyle w:val="TableContents"/>
              <w:bidi w:val="0"/>
              <w:spacing w:before="0" w:after="283"/>
              <w:jc w:val="left"/>
              <w:rPr/>
            </w:pPr>
            <w:r>
              <w:rPr/>
              <w:t> </w:t>
            </w:r>
          </w:p>
        </w:tc>
        <w:tc>
          <w:tcPr>
            <w:tcW w:w="83" w:type="dxa"/>
            <w:tcBorders/>
            <w:tcMar>
              <w:bottom w:w="0" w:type="dxa"/>
            </w:tcMar>
            <w:vAlign w:val="center"/>
          </w:tcPr>
          <w:p>
            <w:pPr>
              <w:pStyle w:val="TableContents"/>
              <w:bidi w:val="0"/>
              <w:spacing w:before="0" w:after="283"/>
              <w:jc w:val="left"/>
              <w:rPr/>
            </w:pPr>
            <w:r>
              <w:rPr/>
              <w:t> </w:t>
            </w:r>
          </w:p>
        </w:tc>
        <w:tc>
          <w:tcPr>
            <w:tcW w:w="1083" w:type="dxa"/>
            <w:gridSpan w:val="2"/>
            <w:tcBorders>
              <w:bottom w:val="single" w:sz="8" w:space="0" w:color="000000"/>
            </w:tcBorders>
            <w:vAlign w:val="center"/>
          </w:tcPr>
          <w:p>
            <w:pPr>
              <w:pStyle w:val="TableContents"/>
              <w:bidi w:val="0"/>
              <w:spacing w:before="0" w:after="283"/>
              <w:jc w:val="center"/>
              <w:rPr>
                <w:b/>
              </w:rPr>
            </w:pPr>
            <w:r>
              <w:rPr>
                <w:b/>
              </w:rPr>
              <w:t>2025</w:t>
            </w:r>
          </w:p>
        </w:tc>
        <w:tc>
          <w:tcPr>
            <w:tcW w:w="119" w:type="dxa"/>
            <w:tcBorders/>
            <w:tcMar>
              <w:bottom w:w="0" w:type="dxa"/>
            </w:tcMar>
            <w:vAlign w:val="center"/>
          </w:tcPr>
          <w:p>
            <w:pPr>
              <w:pStyle w:val="TableContents"/>
              <w:bidi w:val="0"/>
              <w:spacing w:before="0" w:after="283"/>
              <w:jc w:val="left"/>
              <w:rPr/>
            </w:pPr>
            <w:r>
              <w:rPr/>
              <w:t> </w:t>
            </w:r>
            <w:bookmarkStart w:id="663" w:name="xdx_40F_eus-gaap--ResearchAndDevelopment"/>
            <w:bookmarkEnd w:id="663"/>
          </w:p>
        </w:tc>
      </w:tr>
      <w:tr>
        <w:trPr/>
        <w:tc>
          <w:tcPr>
            <w:tcW w:w="4587" w:type="dxa"/>
            <w:tcBorders/>
            <w:shd w:fill="CCEEFF" w:val="clear"/>
            <w:tcMar>
              <w:bottom w:w="0" w:type="dxa"/>
            </w:tcMar>
            <w:vAlign w:val="center"/>
          </w:tcPr>
          <w:p>
            <w:pPr>
              <w:pStyle w:val="TableContents"/>
              <w:bidi w:val="0"/>
              <w:spacing w:before="0" w:after="283"/>
              <w:jc w:val="left"/>
              <w:rPr/>
            </w:pPr>
            <w:r>
              <w:rPr/>
              <w:t>ADC discovery and pre-clinical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20" w:type="dxa"/>
            <w:tcBorders/>
            <w:shd w:fill="CCEEFF" w:val="clear"/>
            <w:tcMar>
              <w:bottom w:w="0" w:type="dxa"/>
            </w:tcMar>
            <w:vAlign w:val="center"/>
          </w:tcPr>
          <w:p>
            <w:pPr>
              <w:pStyle w:val="TableContents"/>
              <w:bidi w:val="0"/>
              <w:spacing w:before="0" w:after="283"/>
              <w:jc w:val="right"/>
              <w:rPr/>
            </w:pPr>
            <w:r>
              <w:rPr/>
              <w:t>(1,870</w:t>
            </w:r>
          </w:p>
        </w:tc>
        <w:tc>
          <w:tcPr>
            <w:tcW w:w="152" w:type="dxa"/>
            <w:tcBorders/>
            <w:shd w:fill="CCEEFF" w:val="clear"/>
            <w:tcMar>
              <w:bottom w:w="0" w:type="dxa"/>
            </w:tcMar>
            <w:vAlign w:val="center"/>
          </w:tcPr>
          <w:p>
            <w:pPr>
              <w:pStyle w:val="TableContents"/>
              <w:bidi w:val="0"/>
              <w:spacing w:before="0" w:after="283"/>
              <w:jc w:val="lef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20" w:type="dxa"/>
            <w:tcBorders/>
            <w:shd w:fill="CCEEFF" w:val="clear"/>
            <w:tcMar>
              <w:bottom w:w="0" w:type="dxa"/>
            </w:tcMar>
            <w:vAlign w:val="center"/>
          </w:tcPr>
          <w:p>
            <w:pPr>
              <w:pStyle w:val="TableContents"/>
              <w:bidi w:val="0"/>
              <w:spacing w:before="0" w:after="283"/>
              <w:jc w:val="right"/>
              <w:rPr/>
            </w:pPr>
            <w:r>
              <w:rPr/>
              <w:t>(145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56" w:type="dxa"/>
            <w:tcBorders/>
            <w:shd w:fill="CCEEFF" w:val="clear"/>
            <w:tcMar>
              <w:bottom w:w="0" w:type="dxa"/>
            </w:tcMar>
            <w:vAlign w:val="center"/>
          </w:tcPr>
          <w:p>
            <w:pPr>
              <w:pStyle w:val="TableContents"/>
              <w:bidi w:val="0"/>
              <w:spacing w:before="0" w:after="283"/>
              <w:jc w:val="right"/>
              <w:rPr/>
            </w:pPr>
            <w:r>
              <w:rPr/>
              <w:t>(3,107</w:t>
            </w:r>
          </w:p>
        </w:tc>
        <w:tc>
          <w:tcPr>
            <w:tcW w:w="132" w:type="dxa"/>
            <w:tcBorders/>
            <w:shd w:fill="CCEEFF" w:val="clear"/>
            <w:tcMar>
              <w:bottom w:w="0" w:type="dxa"/>
            </w:tcMar>
            <w:vAlign w:val="center"/>
          </w:tcPr>
          <w:p>
            <w:pPr>
              <w:pStyle w:val="TableContents"/>
              <w:bidi w:val="0"/>
              <w:spacing w:before="0" w:after="283"/>
              <w:jc w:val="lef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888" w:type="dxa"/>
            <w:tcBorders/>
            <w:shd w:fill="CCEEFF" w:val="clear"/>
            <w:tcMar>
              <w:bottom w:w="0" w:type="dxa"/>
            </w:tcMar>
            <w:vAlign w:val="center"/>
          </w:tcPr>
          <w:p>
            <w:pPr>
              <w:pStyle w:val="TableContents"/>
              <w:bidi w:val="0"/>
              <w:spacing w:before="0" w:after="283"/>
              <w:jc w:val="right"/>
              <w:rPr/>
            </w:pPr>
            <w:r>
              <w:rPr/>
              <w:t>(162</w:t>
            </w:r>
          </w:p>
        </w:tc>
        <w:tc>
          <w:tcPr>
            <w:tcW w:w="119" w:type="dxa"/>
            <w:tcBorders/>
            <w:shd w:fill="CCEEFF" w:val="clear"/>
            <w:tcMar>
              <w:bottom w:w="0" w:type="dxa"/>
            </w:tcMar>
            <w:vAlign w:val="center"/>
          </w:tcPr>
          <w:p>
            <w:pPr>
              <w:pStyle w:val="TableContents"/>
              <w:bidi w:val="0"/>
              <w:spacing w:before="0" w:after="283"/>
              <w:jc w:val="left"/>
              <w:rPr/>
            </w:pPr>
            <w:r>
              <w:rPr/>
              <w:t>)</w:t>
            </w:r>
            <w:bookmarkStart w:id="664" w:name="xdx_402_eus-gaap--ResearchAndDevelopment"/>
            <w:bookmarkEnd w:id="664"/>
          </w:p>
        </w:tc>
      </w:tr>
      <w:tr>
        <w:trPr/>
        <w:tc>
          <w:tcPr>
            <w:tcW w:w="4587" w:type="dxa"/>
            <w:tcBorders/>
            <w:shd w:fill="FFFFFF" w:val="clear"/>
            <w:tcMar>
              <w:bottom w:w="0" w:type="dxa"/>
            </w:tcMar>
            <w:vAlign w:val="center"/>
          </w:tcPr>
          <w:p>
            <w:pPr>
              <w:pStyle w:val="TableContents"/>
              <w:bidi w:val="0"/>
              <w:spacing w:before="0" w:after="283"/>
              <w:jc w:val="left"/>
              <w:rPr/>
            </w:pPr>
            <w:r>
              <w:rPr/>
              <w:t>nomacopan HSCT-TMA (AK901) clinical program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283"/>
              <w:jc w:val="right"/>
              <w:rPr/>
            </w:pPr>
            <w:r>
              <w:rPr/>
              <w:t>—</w:t>
            </w:r>
          </w:p>
        </w:tc>
        <w:tc>
          <w:tcPr>
            <w:tcW w:w="152"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283"/>
              <w:jc w:val="right"/>
              <w:rPr/>
            </w:pPr>
            <w:r>
              <w:rPr/>
              <w:t>(44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888" w:type="dxa"/>
            <w:tcBorders/>
            <w:shd w:fill="FFFFFF" w:val="clear"/>
            <w:tcMar>
              <w:bottom w:w="0" w:type="dxa"/>
            </w:tcMar>
            <w:vAlign w:val="center"/>
          </w:tcPr>
          <w:p>
            <w:pPr>
              <w:pStyle w:val="TableContents"/>
              <w:bidi w:val="0"/>
              <w:spacing w:before="0" w:after="283"/>
              <w:jc w:val="right"/>
              <w:rPr/>
            </w:pPr>
            <w:r>
              <w:rPr/>
              <w:t>(106</w:t>
            </w:r>
          </w:p>
        </w:tc>
        <w:tc>
          <w:tcPr>
            <w:tcW w:w="119" w:type="dxa"/>
            <w:tcBorders/>
            <w:shd w:fill="FFFFFF" w:val="clear"/>
            <w:tcMar>
              <w:bottom w:w="0" w:type="dxa"/>
            </w:tcMar>
            <w:vAlign w:val="center"/>
          </w:tcPr>
          <w:p>
            <w:pPr>
              <w:pStyle w:val="TableContents"/>
              <w:bidi w:val="0"/>
              <w:spacing w:before="0" w:after="283"/>
              <w:jc w:val="left"/>
              <w:rPr/>
            </w:pPr>
            <w:r>
              <w:rPr/>
              <w:t>)</w:t>
            </w:r>
            <w:bookmarkStart w:id="665" w:name="xdx_401_eus-gaap--ResearchAndDevelopment"/>
            <w:bookmarkEnd w:id="665"/>
          </w:p>
        </w:tc>
      </w:tr>
      <w:tr>
        <w:trPr/>
        <w:tc>
          <w:tcPr>
            <w:tcW w:w="4587" w:type="dxa"/>
            <w:tcBorders/>
            <w:shd w:fill="CCEEFF" w:val="clear"/>
            <w:tcMar>
              <w:bottom w:w="0" w:type="dxa"/>
            </w:tcMar>
            <w:vAlign w:val="center"/>
          </w:tcPr>
          <w:p>
            <w:pPr>
              <w:pStyle w:val="TableContents"/>
              <w:bidi w:val="0"/>
              <w:spacing w:before="0" w:after="283"/>
              <w:jc w:val="left"/>
              <w:rPr/>
            </w:pPr>
            <w:r>
              <w:rPr/>
              <w:t>Chemistry, manufacturing and control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w:t>
            </w:r>
          </w:p>
        </w:tc>
        <w:tc>
          <w:tcPr>
            <w:tcW w:w="152"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(20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right"/>
              <w:rPr/>
            </w:pPr>
            <w:r>
              <w:rPr/>
              <w:t>(48</w:t>
            </w:r>
          </w:p>
        </w:tc>
        <w:tc>
          <w:tcPr>
            <w:tcW w:w="119" w:type="dxa"/>
            <w:tcBorders/>
            <w:shd w:fill="CCEEFF" w:val="clear"/>
            <w:tcMar>
              <w:bottom w:w="0" w:type="dxa"/>
            </w:tcMar>
            <w:vAlign w:val="center"/>
          </w:tcPr>
          <w:p>
            <w:pPr>
              <w:pStyle w:val="TableContents"/>
              <w:bidi w:val="0"/>
              <w:spacing w:before="0" w:after="283"/>
              <w:jc w:val="left"/>
              <w:rPr/>
            </w:pPr>
            <w:r>
              <w:rPr/>
              <w:t>)</w:t>
            </w:r>
            <w:bookmarkStart w:id="666" w:name="xdx_408_eus-gaap--ResearchAndDevelopment"/>
            <w:bookmarkEnd w:id="666"/>
          </w:p>
        </w:tc>
      </w:tr>
      <w:tr>
        <w:trPr/>
        <w:tc>
          <w:tcPr>
            <w:tcW w:w="4587" w:type="dxa"/>
            <w:tcBorders/>
            <w:shd w:fill="FFFFFF" w:val="clear"/>
            <w:tcMar>
              <w:bottom w:w="0" w:type="dxa"/>
            </w:tcMar>
            <w:vAlign w:val="center"/>
          </w:tcPr>
          <w:p>
            <w:pPr>
              <w:pStyle w:val="TableContents"/>
              <w:bidi w:val="0"/>
              <w:spacing w:before="0" w:after="283"/>
              <w:jc w:val="left"/>
              <w:rPr/>
            </w:pPr>
            <w:r>
              <w:rPr/>
              <w:t>Other external development (expense)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283"/>
              <w:jc w:val="right"/>
              <w:rPr/>
            </w:pPr>
            <w:r>
              <w:rPr/>
              <w:t>(43</w:t>
            </w:r>
          </w:p>
        </w:tc>
        <w:tc>
          <w:tcPr>
            <w:tcW w:w="152" w:type="dxa"/>
            <w:tcBorders/>
            <w:shd w:fill="FFFFFF" w:val="clear"/>
            <w:tcMar>
              <w:bottom w:w="0" w:type="dxa"/>
            </w:tcMar>
            <w:vAlign w:val="center"/>
          </w:tcPr>
          <w:p>
            <w:pPr>
              <w:pStyle w:val="TableContents"/>
              <w:bidi w:val="0"/>
              <w:spacing w:before="0" w:after="283"/>
              <w:jc w:val="lef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283"/>
              <w:jc w:val="right"/>
              <w:rPr/>
            </w:pPr>
            <w:r>
              <w:rPr/>
              <w:t>63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(60</w:t>
            </w:r>
          </w:p>
        </w:tc>
        <w:tc>
          <w:tcPr>
            <w:tcW w:w="132" w:type="dxa"/>
            <w:tcBorders/>
            <w:shd w:fill="FFFFFF" w:val="clear"/>
            <w:tcMar>
              <w:bottom w:w="0" w:type="dxa"/>
            </w:tcMar>
            <w:vAlign w:val="center"/>
          </w:tcPr>
          <w:p>
            <w:pPr>
              <w:pStyle w:val="TableContents"/>
              <w:bidi w:val="0"/>
              <w:spacing w:before="0" w:after="283"/>
              <w:jc w:val="left"/>
              <w:rPr/>
            </w:pPr>
            <w:r>
              <w:rPr/>
              <w:t>)</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888" w:type="dxa"/>
            <w:tcBorders/>
            <w:shd w:fill="FFFFFF" w:val="clear"/>
            <w:tcMar>
              <w:bottom w:w="0" w:type="dxa"/>
            </w:tcMar>
            <w:vAlign w:val="center"/>
          </w:tcPr>
          <w:p>
            <w:pPr>
              <w:pStyle w:val="TableContents"/>
              <w:bidi w:val="0"/>
              <w:spacing w:before="0" w:after="283"/>
              <w:jc w:val="right"/>
              <w:rPr/>
            </w:pPr>
            <w:r>
              <w:rPr/>
              <w:t>(35</w:t>
            </w:r>
          </w:p>
        </w:tc>
        <w:tc>
          <w:tcPr>
            <w:tcW w:w="119" w:type="dxa"/>
            <w:tcBorders/>
            <w:shd w:fill="FFFFFF" w:val="clear"/>
            <w:tcMar>
              <w:bottom w:w="0" w:type="dxa"/>
            </w:tcMar>
            <w:vAlign w:val="center"/>
          </w:tcPr>
          <w:p>
            <w:pPr>
              <w:pStyle w:val="TableContents"/>
              <w:bidi w:val="0"/>
              <w:spacing w:before="0" w:after="283"/>
              <w:jc w:val="left"/>
              <w:rPr/>
            </w:pPr>
            <w:r>
              <w:rPr/>
              <w:t>)</w:t>
            </w:r>
            <w:bookmarkStart w:id="667" w:name="xdx_403_eus-gaap--ResearchAndDevelopment"/>
            <w:bookmarkEnd w:id="667"/>
          </w:p>
        </w:tc>
      </w:tr>
      <w:tr>
        <w:trPr/>
        <w:tc>
          <w:tcPr>
            <w:tcW w:w="4587" w:type="dxa"/>
            <w:tcBorders/>
            <w:shd w:fill="CCEEFF" w:val="clear"/>
            <w:tcMar>
              <w:bottom w:w="0" w:type="dxa"/>
            </w:tcMar>
            <w:vAlign w:val="center"/>
          </w:tcPr>
          <w:p>
            <w:pPr>
              <w:pStyle w:val="TableContents"/>
              <w:bidi w:val="0"/>
              <w:spacing w:before="0" w:after="283"/>
              <w:jc w:val="left"/>
              <w:rPr/>
            </w:pPr>
            <w:r>
              <w:rPr/>
              <w:t>Internal and other research and development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(134</w:t>
            </w:r>
          </w:p>
        </w:tc>
        <w:tc>
          <w:tcPr>
            <w:tcW w:w="152" w:type="dxa"/>
            <w:tcBorders/>
            <w:shd w:fill="CCEEFF" w:val="clear"/>
            <w:tcMar>
              <w:bottom w:w="0" w:type="dxa"/>
            </w:tcMar>
            <w:vAlign w:val="center"/>
          </w:tcPr>
          <w:p>
            <w:pPr>
              <w:pStyle w:val="TableContents"/>
              <w:bidi w:val="0"/>
              <w:spacing w:before="0" w:after="283"/>
              <w:jc w:val="lef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(337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(319</w:t>
            </w:r>
          </w:p>
        </w:tc>
        <w:tc>
          <w:tcPr>
            <w:tcW w:w="132" w:type="dxa"/>
            <w:tcBorders/>
            <w:shd w:fill="CCEEFF" w:val="clear"/>
            <w:tcMar>
              <w:bottom w:w="0" w:type="dxa"/>
            </w:tcMar>
            <w:vAlign w:val="center"/>
          </w:tcPr>
          <w:p>
            <w:pPr>
              <w:pStyle w:val="TableContents"/>
              <w:bidi w:val="0"/>
              <w:spacing w:before="0" w:after="283"/>
              <w:jc w:val="lef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right"/>
              <w:rPr/>
            </w:pPr>
            <w:r>
              <w:rPr/>
              <w:t>(754</w:t>
            </w:r>
          </w:p>
        </w:tc>
        <w:tc>
          <w:tcPr>
            <w:tcW w:w="119" w:type="dxa"/>
            <w:tcBorders/>
            <w:shd w:fill="CCEEFF" w:val="clear"/>
            <w:tcMar>
              <w:bottom w:w="0" w:type="dxa"/>
            </w:tcMar>
            <w:vAlign w:val="center"/>
          </w:tcPr>
          <w:p>
            <w:pPr>
              <w:pStyle w:val="TableContents"/>
              <w:bidi w:val="0"/>
              <w:spacing w:before="0" w:after="283"/>
              <w:jc w:val="left"/>
              <w:rPr/>
            </w:pPr>
            <w:r>
              <w:rPr/>
              <w:t>)</w:t>
            </w:r>
            <w:bookmarkStart w:id="668" w:name="xdx_40A_eus-gaap--GeneralAndAdministrati"/>
            <w:bookmarkEnd w:id="668"/>
          </w:p>
        </w:tc>
      </w:tr>
      <w:tr>
        <w:trPr/>
        <w:tc>
          <w:tcPr>
            <w:tcW w:w="4587" w:type="dxa"/>
            <w:tcBorders/>
            <w:shd w:fill="FFFFFF" w:val="clear"/>
            <w:tcMar>
              <w:bottom w:w="0" w:type="dxa"/>
            </w:tcMar>
            <w:vAlign w:val="center"/>
          </w:tcPr>
          <w:p>
            <w:pPr>
              <w:pStyle w:val="TableContents"/>
              <w:bidi w:val="0"/>
              <w:spacing w:before="0" w:after="283"/>
              <w:jc w:val="left"/>
              <w:rPr/>
            </w:pPr>
            <w:r>
              <w:rPr/>
              <w:t>General and administrative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283"/>
              <w:jc w:val="right"/>
              <w:rPr/>
            </w:pPr>
            <w:r>
              <w:rPr/>
              <w:t>(1,844</w:t>
            </w:r>
          </w:p>
        </w:tc>
        <w:tc>
          <w:tcPr>
            <w:tcW w:w="152" w:type="dxa"/>
            <w:tcBorders/>
            <w:shd w:fill="FFFFFF" w:val="clear"/>
            <w:tcMar>
              <w:bottom w:w="0" w:type="dxa"/>
            </w:tcMar>
            <w:vAlign w:val="center"/>
          </w:tcPr>
          <w:p>
            <w:pPr>
              <w:pStyle w:val="TableContents"/>
              <w:bidi w:val="0"/>
              <w:spacing w:before="0" w:after="283"/>
              <w:jc w:val="lef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283"/>
              <w:jc w:val="right"/>
              <w:rPr/>
            </w:pPr>
            <w:r>
              <w:rPr/>
              <w:t>(1,917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(3,728</w:t>
            </w:r>
          </w:p>
        </w:tc>
        <w:tc>
          <w:tcPr>
            <w:tcW w:w="132" w:type="dxa"/>
            <w:tcBorders/>
            <w:shd w:fill="FFFFFF" w:val="clear"/>
            <w:tcMar>
              <w:bottom w:w="0" w:type="dxa"/>
            </w:tcMar>
            <w:vAlign w:val="center"/>
          </w:tcPr>
          <w:p>
            <w:pPr>
              <w:pStyle w:val="TableContents"/>
              <w:bidi w:val="0"/>
              <w:spacing w:before="0" w:after="283"/>
              <w:jc w:val="left"/>
              <w:rPr/>
            </w:pPr>
            <w:r>
              <w:rPr/>
              <w:t>)</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888" w:type="dxa"/>
            <w:tcBorders/>
            <w:shd w:fill="FFFFFF" w:val="clear"/>
            <w:tcMar>
              <w:bottom w:w="0" w:type="dxa"/>
            </w:tcMar>
            <w:vAlign w:val="center"/>
          </w:tcPr>
          <w:p>
            <w:pPr>
              <w:pStyle w:val="TableContents"/>
              <w:bidi w:val="0"/>
              <w:spacing w:before="0" w:after="283"/>
              <w:jc w:val="right"/>
              <w:rPr/>
            </w:pPr>
            <w:r>
              <w:rPr/>
              <w:t>(3,805</w:t>
            </w:r>
          </w:p>
        </w:tc>
        <w:tc>
          <w:tcPr>
            <w:tcW w:w="119" w:type="dxa"/>
            <w:tcBorders/>
            <w:shd w:fill="FFFFFF" w:val="clear"/>
            <w:tcMar>
              <w:bottom w:w="0" w:type="dxa"/>
            </w:tcMar>
            <w:vAlign w:val="center"/>
          </w:tcPr>
          <w:p>
            <w:pPr>
              <w:pStyle w:val="TableContents"/>
              <w:bidi w:val="0"/>
              <w:spacing w:before="0" w:after="283"/>
              <w:jc w:val="left"/>
              <w:rPr/>
            </w:pPr>
            <w:r>
              <w:rPr/>
              <w:t>)</w:t>
            </w:r>
            <w:bookmarkStart w:id="669" w:name="xdx_400_eus-gaap--ImpairmentOfIntangible"/>
            <w:bookmarkEnd w:id="669"/>
          </w:p>
        </w:tc>
      </w:tr>
      <w:tr>
        <w:trPr/>
        <w:tc>
          <w:tcPr>
            <w:tcW w:w="4587" w:type="dxa"/>
            <w:tcBorders/>
            <w:shd w:fill="CCEEFF" w:val="clear"/>
            <w:tcMar>
              <w:bottom w:w="0" w:type="dxa"/>
            </w:tcMar>
            <w:vAlign w:val="center"/>
          </w:tcPr>
          <w:p>
            <w:pPr>
              <w:pStyle w:val="TableContents"/>
              <w:bidi w:val="0"/>
              <w:spacing w:before="0" w:after="283"/>
              <w:jc w:val="left"/>
              <w:rPr/>
            </w:pPr>
            <w:r>
              <w:rPr/>
              <w:t>Impairment loss on other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w:t>
            </w:r>
          </w:p>
        </w:tc>
        <w:tc>
          <w:tcPr>
            <w:tcW w:w="152"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(3,700</w:t>
            </w:r>
          </w:p>
        </w:tc>
        <w:tc>
          <w:tcPr>
            <w:tcW w:w="132" w:type="dxa"/>
            <w:tcBorders/>
            <w:shd w:fill="CCEEFF" w:val="clear"/>
            <w:tcMar>
              <w:bottom w:w="0" w:type="dxa"/>
            </w:tcMar>
            <w:vAlign w:val="center"/>
          </w:tcPr>
          <w:p>
            <w:pPr>
              <w:pStyle w:val="TableContents"/>
              <w:bidi w:val="0"/>
              <w:spacing w:before="0" w:after="283"/>
              <w:jc w:val="lef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 </w:t>
            </w:r>
            <w:bookmarkStart w:id="670" w:name="xdx_407_eus-gaap--GoodwillImpairmentLoss"/>
            <w:bookmarkEnd w:id="670"/>
          </w:p>
        </w:tc>
      </w:tr>
      <w:tr>
        <w:trPr/>
        <w:tc>
          <w:tcPr>
            <w:tcW w:w="4587" w:type="dxa"/>
            <w:tcBorders/>
            <w:shd w:fill="FFFFFF" w:val="clear"/>
            <w:tcMar>
              <w:bottom w:w="0" w:type="dxa"/>
            </w:tcMar>
            <w:vAlign w:val="center"/>
          </w:tcPr>
          <w:p>
            <w:pPr>
              <w:pStyle w:val="TableContents"/>
              <w:bidi w:val="0"/>
              <w:spacing w:before="0" w:after="283"/>
              <w:jc w:val="left"/>
              <w:rPr/>
            </w:pPr>
            <w:r>
              <w:rPr/>
              <w:t>Impairment loss on 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283"/>
              <w:jc w:val="right"/>
              <w:rPr/>
            </w:pPr>
            <w:r>
              <w:rPr/>
              <w:t>—</w:t>
            </w:r>
          </w:p>
        </w:tc>
        <w:tc>
          <w:tcPr>
            <w:tcW w:w="152"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(8,430</w:t>
            </w:r>
          </w:p>
        </w:tc>
        <w:tc>
          <w:tcPr>
            <w:tcW w:w="132" w:type="dxa"/>
            <w:tcBorders/>
            <w:shd w:fill="FFFFFF" w:val="clear"/>
            <w:tcMar>
              <w:bottom w:w="0" w:type="dxa"/>
            </w:tcMar>
            <w:vAlign w:val="center"/>
          </w:tcPr>
          <w:p>
            <w:pPr>
              <w:pStyle w:val="TableContents"/>
              <w:bidi w:val="0"/>
              <w:spacing w:before="0" w:after="283"/>
              <w:jc w:val="left"/>
              <w:rPr/>
            </w:pPr>
            <w:r>
              <w:rPr/>
              <w:t>)</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888" w:type="dxa"/>
            <w:tcBorders/>
            <w:shd w:fill="FFFFFF" w:val="clear"/>
            <w:tcMar>
              <w:bottom w:w="0" w:type="dxa"/>
            </w:tcMar>
            <w:vAlign w:val="center"/>
          </w:tcPr>
          <w:p>
            <w:pPr>
              <w:pStyle w:val="TableContents"/>
              <w:bidi w:val="0"/>
              <w:spacing w:before="0" w:after="283"/>
              <w:jc w:val="right"/>
              <w:rPr/>
            </w:pPr>
            <w:r>
              <w:rPr/>
              <w:t>—</w:t>
            </w:r>
          </w:p>
        </w:tc>
        <w:tc>
          <w:tcPr>
            <w:tcW w:w="119" w:type="dxa"/>
            <w:tcBorders/>
            <w:shd w:fill="FFFFFF" w:val="clear"/>
            <w:tcMar>
              <w:bottom w:w="0" w:type="dxa"/>
            </w:tcMar>
            <w:vAlign w:val="center"/>
          </w:tcPr>
          <w:p>
            <w:pPr>
              <w:pStyle w:val="TableContents"/>
              <w:bidi w:val="0"/>
              <w:spacing w:before="0" w:after="283"/>
              <w:jc w:val="left"/>
              <w:rPr/>
            </w:pPr>
            <w:r>
              <w:rPr/>
              <w:t> </w:t>
            </w:r>
            <w:bookmarkStart w:id="671" w:name="xdx_407_eus-gaap--AllocatedShareBasedCom"/>
            <w:bookmarkEnd w:id="671"/>
          </w:p>
        </w:tc>
      </w:tr>
      <w:tr>
        <w:trPr/>
        <w:tc>
          <w:tcPr>
            <w:tcW w:w="4587" w:type="dxa"/>
            <w:tcBorders/>
            <w:shd w:fill="CCEEFF" w:val="clear"/>
            <w:tcMar>
              <w:bottom w:w="0" w:type="dxa"/>
            </w:tcMar>
            <w:vAlign w:val="center"/>
          </w:tcPr>
          <w:p>
            <w:pPr>
              <w:pStyle w:val="TableContents"/>
              <w:bidi w:val="0"/>
              <w:spacing w:before="0" w:after="283"/>
              <w:jc w:val="left"/>
              <w:rPr/>
            </w:pPr>
            <w:r>
              <w:rPr/>
              <w:t>Stock-based compensation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(711</w:t>
            </w:r>
          </w:p>
        </w:tc>
        <w:tc>
          <w:tcPr>
            <w:tcW w:w="152" w:type="dxa"/>
            <w:tcBorders/>
            <w:shd w:fill="CCEEFF" w:val="clear"/>
            <w:tcMar>
              <w:bottom w:w="0" w:type="dxa"/>
            </w:tcMar>
            <w:vAlign w:val="center"/>
          </w:tcPr>
          <w:p>
            <w:pPr>
              <w:pStyle w:val="TableContents"/>
              <w:bidi w:val="0"/>
              <w:spacing w:before="0" w:after="283"/>
              <w:jc w:val="lef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(719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(1,016</w:t>
            </w:r>
          </w:p>
        </w:tc>
        <w:tc>
          <w:tcPr>
            <w:tcW w:w="132" w:type="dxa"/>
            <w:tcBorders/>
            <w:shd w:fill="CCEEFF" w:val="clear"/>
            <w:tcMar>
              <w:bottom w:w="0" w:type="dxa"/>
            </w:tcMar>
            <w:vAlign w:val="center"/>
          </w:tcPr>
          <w:p>
            <w:pPr>
              <w:pStyle w:val="TableContents"/>
              <w:bidi w:val="0"/>
              <w:spacing w:before="0" w:after="283"/>
              <w:jc w:val="lef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right"/>
              <w:rPr/>
            </w:pPr>
            <w:r>
              <w:rPr/>
              <w:t>(1,734</w:t>
            </w:r>
          </w:p>
        </w:tc>
        <w:tc>
          <w:tcPr>
            <w:tcW w:w="119" w:type="dxa"/>
            <w:tcBorders/>
            <w:shd w:fill="CCEEFF" w:val="clear"/>
            <w:tcMar>
              <w:bottom w:w="0" w:type="dxa"/>
            </w:tcMar>
            <w:vAlign w:val="center"/>
          </w:tcPr>
          <w:p>
            <w:pPr>
              <w:pStyle w:val="TableContents"/>
              <w:bidi w:val="0"/>
              <w:spacing w:before="0" w:after="283"/>
              <w:jc w:val="left"/>
              <w:rPr/>
            </w:pPr>
            <w:r>
              <w:rPr/>
              <w:t>)</w:t>
            </w:r>
            <w:bookmarkStart w:id="672" w:name="xdx_409_eus-gaap--SegmentReportingOtherI"/>
            <w:bookmarkEnd w:id="672"/>
          </w:p>
        </w:tc>
      </w:tr>
      <w:tr>
        <w:trPr/>
        <w:tc>
          <w:tcPr>
            <w:tcW w:w="458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segment items </w:t>
            </w:r>
            <w:bookmarkStart w:id="673" w:name="xdx_F45_zgudyZg0f3u9"/>
            <w:bookmarkEnd w:id="673"/>
            <w:r>
              <w:rPr>
                <w:rFonts w:ascii="Times New Roman;Times;Serif" w:hAnsi="Times New Roman;Times;Serif"/>
                <w:i/>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283"/>
              <w:jc w:val="right"/>
              <w:rPr/>
            </w:pPr>
            <w:r>
              <w:rPr/>
              <w:t>(205</w:t>
            </w:r>
          </w:p>
        </w:tc>
        <w:tc>
          <w:tcPr>
            <w:tcW w:w="152" w:type="dxa"/>
            <w:tcBorders/>
            <w:shd w:fill="FFFFFF" w:val="clear"/>
            <w:tcMar>
              <w:bottom w:w="0" w:type="dxa"/>
            </w:tcMar>
            <w:vAlign w:val="center"/>
          </w:tcPr>
          <w:p>
            <w:pPr>
              <w:pStyle w:val="TableContents"/>
              <w:bidi w:val="0"/>
              <w:spacing w:before="0" w:after="283"/>
              <w:jc w:val="lef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020" w:type="dxa"/>
            <w:tcBorders/>
            <w:shd w:fill="FFFFFF" w:val="clear"/>
            <w:tcMar>
              <w:bottom w:w="0" w:type="dxa"/>
            </w:tcMar>
            <w:vAlign w:val="center"/>
          </w:tcPr>
          <w:p>
            <w:pPr>
              <w:pStyle w:val="TableContents"/>
              <w:bidi w:val="0"/>
              <w:spacing w:before="0" w:after="283"/>
              <w:jc w:val="right"/>
              <w:rPr/>
            </w:pPr>
            <w:r>
              <w:rPr/>
              <w:t>1,224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239</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888" w:type="dxa"/>
            <w:tcBorders/>
            <w:shd w:fill="FFFFFF" w:val="clear"/>
            <w:tcMar>
              <w:bottom w:w="0" w:type="dxa"/>
            </w:tcMar>
            <w:vAlign w:val="center"/>
          </w:tcPr>
          <w:p>
            <w:pPr>
              <w:pStyle w:val="TableContents"/>
              <w:bidi w:val="0"/>
              <w:spacing w:before="0" w:after="283"/>
              <w:jc w:val="right"/>
              <w:rPr/>
            </w:pPr>
            <w:r>
              <w:rPr/>
              <w:t>1,044</w:t>
            </w:r>
          </w:p>
        </w:tc>
        <w:tc>
          <w:tcPr>
            <w:tcW w:w="119" w:type="dxa"/>
            <w:tcBorders/>
            <w:shd w:fill="FFFFFF" w:val="clear"/>
            <w:tcMar>
              <w:bottom w:w="0" w:type="dxa"/>
            </w:tcMar>
            <w:vAlign w:val="center"/>
          </w:tcPr>
          <w:p>
            <w:pPr>
              <w:pStyle w:val="TableContents"/>
              <w:bidi w:val="0"/>
              <w:spacing w:before="0" w:after="283"/>
              <w:jc w:val="left"/>
              <w:rPr/>
            </w:pPr>
            <w:r>
              <w:rPr/>
              <w:t> </w:t>
            </w:r>
            <w:bookmarkStart w:id="674" w:name="xdx_40C_eus-gaap--DeferredIncomeTaxExpen"/>
            <w:bookmarkEnd w:id="674"/>
          </w:p>
        </w:tc>
      </w:tr>
      <w:tr>
        <w:trPr/>
        <w:tc>
          <w:tcPr>
            <w:tcW w:w="4587" w:type="dxa"/>
            <w:tcBorders/>
            <w:shd w:fill="CCEEFF" w:val="clear"/>
            <w:tcMar>
              <w:bottom w:w="0" w:type="dxa"/>
            </w:tcMar>
            <w:vAlign w:val="center"/>
          </w:tcPr>
          <w:p>
            <w:pPr>
              <w:pStyle w:val="TableContents"/>
              <w:bidi w:val="0"/>
              <w:spacing w:before="0" w:after="283"/>
              <w:jc w:val="left"/>
              <w:rPr/>
            </w:pPr>
            <w:r>
              <w:rPr/>
              <w:t>Deferred 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bottom w:val="single" w:sz="8" w:space="0" w:color="000000"/>
            </w:tcBorders>
            <w:shd w:fill="CCEEFF" w:val="clear"/>
            <w:vAlign w:val="center"/>
          </w:tcPr>
          <w:p>
            <w:pPr>
              <w:pStyle w:val="TableContents"/>
              <w:bidi w:val="0"/>
              <w:spacing w:before="0" w:after="283"/>
              <w:jc w:val="left"/>
              <w:rPr/>
            </w:pPr>
            <w:r>
              <w:rPr/>
              <w:t> </w:t>
            </w:r>
          </w:p>
        </w:tc>
        <w:tc>
          <w:tcPr>
            <w:tcW w:w="1020" w:type="dxa"/>
            <w:tcBorders>
              <w:bottom w:val="single" w:sz="8" w:space="0" w:color="000000"/>
            </w:tcBorders>
            <w:shd w:fill="CCEEFF" w:val="clear"/>
            <w:vAlign w:val="center"/>
          </w:tcPr>
          <w:p>
            <w:pPr>
              <w:pStyle w:val="TableContents"/>
              <w:bidi w:val="0"/>
              <w:spacing w:before="0" w:after="283"/>
              <w:jc w:val="right"/>
              <w:rPr/>
            </w:pPr>
            <w:r>
              <w:rPr/>
              <w:t>—</w:t>
            </w:r>
          </w:p>
        </w:tc>
        <w:tc>
          <w:tcPr>
            <w:tcW w:w="152"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224" w:type="dxa"/>
            <w:tcBorders>
              <w:bottom w:val="single" w:sz="8" w:space="0" w:color="000000"/>
            </w:tcBorders>
            <w:shd w:fill="CCEEFF" w:val="clear"/>
            <w:vAlign w:val="center"/>
          </w:tcPr>
          <w:p>
            <w:pPr>
              <w:pStyle w:val="TableContents"/>
              <w:bidi w:val="0"/>
              <w:spacing w:before="0" w:after="283"/>
              <w:jc w:val="left"/>
              <w:rPr/>
            </w:pPr>
            <w:r>
              <w:rPr/>
              <w:t> </w:t>
            </w:r>
          </w:p>
        </w:tc>
        <w:tc>
          <w:tcPr>
            <w:tcW w:w="1020"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CCEEFF" w:val="clear"/>
            <w:vAlign w:val="center"/>
          </w:tcPr>
          <w:p>
            <w:pPr>
              <w:pStyle w:val="TableContents"/>
              <w:bidi w:val="0"/>
              <w:spacing w:before="0" w:after="283"/>
              <w:jc w:val="left"/>
              <w:rPr/>
            </w:pPr>
            <w:r>
              <w:rPr/>
              <w:t> </w:t>
            </w:r>
          </w:p>
        </w:tc>
        <w:tc>
          <w:tcPr>
            <w:tcW w:w="1056" w:type="dxa"/>
            <w:tcBorders>
              <w:bottom w:val="single" w:sz="8" w:space="0" w:color="000000"/>
            </w:tcBorders>
            <w:shd w:fill="CCEEFF" w:val="clear"/>
            <w:vAlign w:val="center"/>
          </w:tcPr>
          <w:p>
            <w:pPr>
              <w:pStyle w:val="TableContents"/>
              <w:bidi w:val="0"/>
              <w:spacing w:before="0" w:after="283"/>
              <w:jc w:val="right"/>
              <w:rPr/>
            </w:pPr>
            <w:r>
              <w:rPr/>
              <w:t>859</w:t>
            </w:r>
          </w:p>
        </w:tc>
        <w:tc>
          <w:tcPr>
            <w:tcW w:w="132"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CCEEFF" w:val="clear"/>
            <w:vAlign w:val="center"/>
          </w:tcPr>
          <w:p>
            <w:pPr>
              <w:pStyle w:val="TableContents"/>
              <w:bidi w:val="0"/>
              <w:spacing w:before="0" w:after="283"/>
              <w:jc w:val="left"/>
              <w:rPr/>
            </w:pPr>
            <w:r>
              <w:rPr/>
              <w:t> </w:t>
            </w:r>
          </w:p>
        </w:tc>
        <w:tc>
          <w:tcPr>
            <w:tcW w:w="888" w:type="dxa"/>
            <w:tcBorders>
              <w:bottom w:val="single" w:sz="8" w:space="0" w:color="000000"/>
            </w:tcBorders>
            <w:shd w:fill="CCEEFF" w:val="cle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 </w:t>
            </w:r>
            <w:bookmarkStart w:id="675" w:name="xdx_402_eus-gaap--NetIncomeLoss_zO9iUB9h"/>
            <w:bookmarkEnd w:id="675"/>
          </w:p>
        </w:tc>
      </w:tr>
      <w:tr>
        <w:trPr/>
        <w:tc>
          <w:tcPr>
            <w:tcW w:w="4587"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vAlign w:val="center"/>
          </w:tcPr>
          <w:p>
            <w:pPr>
              <w:pStyle w:val="TableContents"/>
              <w:bidi w:val="0"/>
              <w:spacing w:before="0" w:after="283"/>
              <w:jc w:val="left"/>
              <w:rPr/>
            </w:pPr>
            <w:r>
              <w:rPr/>
              <w:t>$</w:t>
            </w:r>
          </w:p>
        </w:tc>
        <w:tc>
          <w:tcPr>
            <w:tcW w:w="1020" w:type="dxa"/>
            <w:tcBorders>
              <w:bottom w:val="double" w:sz="6" w:space="0" w:color="000000"/>
            </w:tcBorders>
            <w:shd w:fill="FFFFFF" w:val="clear"/>
            <w:vAlign w:val="center"/>
          </w:tcPr>
          <w:p>
            <w:pPr>
              <w:pStyle w:val="TableContents"/>
              <w:bidi w:val="0"/>
              <w:spacing w:before="0" w:after="283"/>
              <w:jc w:val="right"/>
              <w:rPr/>
            </w:pPr>
            <w:r>
              <w:rPr/>
              <w:t>(4,807</w:t>
            </w:r>
          </w:p>
        </w:tc>
        <w:tc>
          <w:tcPr>
            <w:tcW w:w="152" w:type="dxa"/>
            <w:tcBorders/>
            <w:shd w:fill="FFFFFF" w:val="clear"/>
            <w:tcMar>
              <w:bottom w:w="0" w:type="dxa"/>
            </w:tcMar>
            <w:vAlign w:val="center"/>
          </w:tcPr>
          <w:p>
            <w:pPr>
              <w:pStyle w:val="TableContents"/>
              <w:bidi w:val="0"/>
              <w:spacing w:before="0" w:after="283"/>
              <w:jc w:val="lef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vAlign w:val="center"/>
          </w:tcPr>
          <w:p>
            <w:pPr>
              <w:pStyle w:val="TableContents"/>
              <w:bidi w:val="0"/>
              <w:spacing w:before="0" w:after="283"/>
              <w:jc w:val="left"/>
              <w:rPr/>
            </w:pPr>
            <w:r>
              <w:rPr/>
              <w:t>$</w:t>
            </w:r>
          </w:p>
        </w:tc>
        <w:tc>
          <w:tcPr>
            <w:tcW w:w="1020" w:type="dxa"/>
            <w:tcBorders>
              <w:bottom w:val="double" w:sz="6" w:space="0" w:color="000000"/>
            </w:tcBorders>
            <w:shd w:fill="FFFFFF" w:val="clear"/>
            <w:vAlign w:val="center"/>
          </w:tcPr>
          <w:p>
            <w:pPr>
              <w:pStyle w:val="TableContents"/>
              <w:bidi w:val="0"/>
              <w:spacing w:before="0" w:after="283"/>
              <w:jc w:val="right"/>
              <w:rPr/>
            </w:pPr>
            <w:r>
              <w:rPr/>
              <w:t>(1,895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vAlign w:val="center"/>
          </w:tcPr>
          <w:p>
            <w:pPr>
              <w:pStyle w:val="TableContents"/>
              <w:bidi w:val="0"/>
              <w:spacing w:before="0" w:after="283"/>
              <w:jc w:val="left"/>
              <w:rPr/>
            </w:pPr>
            <w:r>
              <w:rPr/>
              <w:t>$</w:t>
            </w:r>
          </w:p>
        </w:tc>
        <w:tc>
          <w:tcPr>
            <w:tcW w:w="1056" w:type="dxa"/>
            <w:tcBorders>
              <w:bottom w:val="double" w:sz="6" w:space="0" w:color="000000"/>
            </w:tcBorders>
            <w:shd w:fill="FFFFFF" w:val="clear"/>
            <w:vAlign w:val="center"/>
          </w:tcPr>
          <w:p>
            <w:pPr>
              <w:pStyle w:val="TableContents"/>
              <w:bidi w:val="0"/>
              <w:spacing w:before="0" w:after="283"/>
              <w:jc w:val="right"/>
              <w:rPr/>
            </w:pPr>
            <w:r>
              <w:rPr/>
              <w:t>(19,262</w:t>
            </w:r>
          </w:p>
        </w:tc>
        <w:tc>
          <w:tcPr>
            <w:tcW w:w="132" w:type="dxa"/>
            <w:tcBorders/>
            <w:shd w:fill="FFFFFF" w:val="clear"/>
            <w:tcMar>
              <w:bottom w:w="0" w:type="dxa"/>
            </w:tcMar>
            <w:vAlign w:val="center"/>
          </w:tcPr>
          <w:p>
            <w:pPr>
              <w:pStyle w:val="TableContents"/>
              <w:bidi w:val="0"/>
              <w:spacing w:before="0" w:after="283"/>
              <w:jc w:val="left"/>
              <w:rPr/>
            </w:pPr>
            <w:r>
              <w:rPr/>
              <w:t>)</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vAlign w:val="center"/>
          </w:tcPr>
          <w:p>
            <w:pPr>
              <w:pStyle w:val="TableContents"/>
              <w:bidi w:val="0"/>
              <w:spacing w:before="0" w:after="283"/>
              <w:jc w:val="left"/>
              <w:rPr/>
            </w:pPr>
            <w:r>
              <w:rPr/>
              <w:t>$</w:t>
            </w:r>
          </w:p>
        </w:tc>
        <w:tc>
          <w:tcPr>
            <w:tcW w:w="888" w:type="dxa"/>
            <w:tcBorders>
              <w:bottom w:val="double" w:sz="6" w:space="0" w:color="000000"/>
            </w:tcBorders>
            <w:shd w:fill="FFFFFF" w:val="clear"/>
            <w:vAlign w:val="center"/>
          </w:tcPr>
          <w:p>
            <w:pPr>
              <w:pStyle w:val="TableContents"/>
              <w:bidi w:val="0"/>
              <w:spacing w:before="0" w:after="283"/>
              <w:jc w:val="right"/>
              <w:rPr/>
            </w:pPr>
            <w:r>
              <w:rPr/>
              <w:t>(5,600</w:t>
            </w:r>
          </w:p>
        </w:tc>
        <w:tc>
          <w:tcPr>
            <w:tcW w:w="119"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bookmarkStart w:id="676" w:name="xdx_F09_zgOmxBdGnjU3"/>
            <w:bookmarkEnd w:id="676"/>
            <w:r>
              <w:rPr>
                <w:rFonts w:ascii="Times New Roman;Times;Serif" w:hAnsi="Times New Roman;Times;Serif"/>
                <w:b w:val="false"/>
                <w:i/>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bookmarkStart w:id="677" w:name="xdx_F18_zob1MjZod0Hl"/>
            <w:bookmarkEnd w:id="677"/>
            <w:r>
              <w:rPr>
                <w:rFonts w:ascii="Times New Roman;Times;Serif" w:hAnsi="Times New Roman;Times;Serif"/>
                <w:b w:val="false"/>
                <w:i/>
                <w:caps w:val="false"/>
                <w:smallCaps w:val="false"/>
                <w:sz w:val="20"/>
              </w:rPr>
              <w:t>Other segment items include interest expense, change in fair value of warrant liabilities, change in fair value of derivative liability, and net foreign currency exchange gains (losses) as reported in the Company’s condensed consolidated statements of operations and comprehensive loss.</w:t>
            </w:r>
          </w:p>
        </w:tc>
      </w:tr>
    </w:tbl>
    <w:p>
      <w:pPr>
        <w:pStyle w:val="TextBody"/>
        <w:bidi w:val="0"/>
        <w:spacing w:before="0" w:after="0"/>
        <w:ind w:left="0" w:right="0" w:hanging="0"/>
        <w:jc w:val="both"/>
        <w:rPr>
          <w:caps w:val="false"/>
          <w:smallCaps w:val="false"/>
        </w:rPr>
      </w:pPr>
      <w:bookmarkStart w:id="678" w:name="xdx_8A2_zEQsmMwsKqw"/>
      <w:bookmarkEnd w:id="67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regularly provided to the CODM are consistent with those reported on the consolidated balance sheets with particular emphasis on the Company’s available liquidity, including its cash and restricted cash. All of the Company’s tangible assets are held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9" w:name="xdx_80D_eus-gaap--RelatedPartyTransactio"/>
      <w:bookmarkEnd w:id="679"/>
      <w:r>
        <w:rPr>
          <w:rFonts w:ascii="Times New Roman;Times;Serif" w:hAnsi="Times New Roman;Times;Serif"/>
          <w:b/>
          <w:i w:val="false"/>
          <w:caps w:val="false"/>
          <w:smallCaps w:val="false"/>
          <w:sz w:val="20"/>
        </w:rPr>
        <w:t xml:space="preserve">Note 12. </w:t>
      </w:r>
      <w:bookmarkStart w:id="680" w:name="xdx_820_zieMaT7RJRY7"/>
      <w:bookmarkEnd w:id="680"/>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assumed an amount due to an entity in which the Company’s Chairman, Dr. Hoyoung Huh, is a director. As of June 30, 2026, and December 31, 2025, the amounts due totaled less than $</w:t>
      </w:r>
      <w:bookmarkStart w:id="681" w:name="xdx_907_ecustom--AmountDueToRelatedParty"/>
      <w:bookmarkStart w:id="682" w:name="xdx_90C_ecustom--AmountDueToRelatedParty"/>
      <w:bookmarkEnd w:id="681"/>
      <w:bookmarkEnd w:id="682"/>
      <w:r>
        <w:rPr>
          <w:rFonts w:ascii="Times New Roman;Times;Serif" w:hAnsi="Times New Roman;Times;Serif"/>
          <w:b w:val="false"/>
          <w:i w:val="false"/>
          <w:caps w:val="false"/>
          <w:smallCaps w:val="false"/>
          <w:sz w:val="20"/>
        </w:rPr>
        <w:t>0.1 million and are included in accounts payable in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3" w:name="xdx_80A_eus-gaap--CommitmentsAndContinge"/>
      <w:bookmarkEnd w:id="683"/>
      <w:r>
        <w:rPr>
          <w:rFonts w:ascii="Times New Roman;Times;Serif" w:hAnsi="Times New Roman;Times;Serif"/>
          <w:b/>
          <w:i w:val="false"/>
          <w:caps w:val="false"/>
          <w:smallCaps w:val="false"/>
          <w:sz w:val="20"/>
        </w:rPr>
        <w:t xml:space="preserve">Note 13. </w:t>
      </w:r>
      <w:bookmarkStart w:id="684" w:name="xdx_820_z1lteEmDkaOf"/>
      <w:bookmarkEnd w:id="684"/>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leases office space for our U.S. headquarters on a short-term basis. The Company leases its U.S. headquarters virtual office, located in Tampa, Florida, on a month-to-month basis. The Company also leases laboratory space, located in San Francisco, California, on a month-to-month basis and is cancellable anytime with 60 days’ notice. The Company is not party to any material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three and six months ended June 30, 2026 and 2025, the Company incurred lease costs of less than $</w:t>
      </w:r>
      <w:bookmarkStart w:id="685" w:name="xdx_901_eus-gaap--OperatingLeaseCost_pn5"/>
      <w:bookmarkStart w:id="686" w:name="xdx_908_eus-gaap--OperatingLeaseCost_pn5"/>
      <w:bookmarkEnd w:id="685"/>
      <w:bookmarkEnd w:id="686"/>
      <w:r>
        <w:rPr>
          <w:rFonts w:ascii="Times New Roman;Times;Serif" w:hAnsi="Times New Roman;Times;Serif"/>
          <w:b w:val="false"/>
          <w:i w:val="false"/>
          <w:caps w:val="false"/>
          <w:smallCaps w:val="false"/>
          <w:sz w:val="20"/>
        </w:rPr>
        <w:t>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adopted an employee benefit plan under Section 401(k) of the Internal Revenue Code for its U.S.-based employees. The plan allows employees to make contributions up to a specified percentage of their compensation. </w:t>
      </w:r>
      <w:bookmarkStart w:id="687" w:name="xdx_903_eus-gaap--DescriptionOfDefinedCo"/>
      <w:bookmarkEnd w:id="687"/>
      <w:r>
        <w:rPr>
          <w:rFonts w:ascii="Times New Roman;Times;Serif" w:hAnsi="Times New Roman;Times;Serif"/>
          <w:b w:val="false"/>
          <w:i w:val="false"/>
          <w:caps w:val="false"/>
          <w:smallCaps w:val="false"/>
          <w:sz w:val="20"/>
        </w:rPr>
        <w:t>Under the plan, the Company matches 100% of employees’ contributions up to 5% of the annual eligible compensation contributed by each employee, subject to Internal Revenue Code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8" w:name="xdx_90B_eus-gaap--DescriptionOfDefinedCo"/>
      <w:bookmarkEnd w:id="688"/>
      <w:r>
        <w:rPr>
          <w:rFonts w:ascii="Times New Roman;Times;Serif" w:hAnsi="Times New Roman;Times;Serif"/>
          <w:b w:val="false"/>
          <w:i w:val="false"/>
          <w:caps w:val="false"/>
          <w:smallCaps w:val="false"/>
          <w:sz w:val="20"/>
        </w:rPr>
        <w:t>The Company also adopted a defined contribution pension scheme which allows for U.K. employees to make contributions and provides U.K. employees with a Company contribution of 10% of compensation, subject to U.K.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each of the three and six months ended June 30, 2026 and 2025, the Company charged less than $</w:t>
      </w:r>
      <w:bookmarkStart w:id="689" w:name="xdx_905_eus-gaap--OperatingExpenses_pn5n"/>
      <w:bookmarkStart w:id="690" w:name="xdx_90B_eus-gaap--OperatingExpenses_pn5n"/>
      <w:bookmarkStart w:id="691" w:name="xdx_903_eus-gaap--OperatingExpenses_pn5n"/>
      <w:bookmarkStart w:id="692" w:name="xdx_90B_eus-gaap--OperatingExpenses_pn5n"/>
      <w:bookmarkEnd w:id="689"/>
      <w:bookmarkEnd w:id="690"/>
      <w:bookmarkEnd w:id="691"/>
      <w:bookmarkEnd w:id="692"/>
      <w:r>
        <w:rPr>
          <w:rFonts w:ascii="Times New Roman;Times;Serif" w:hAnsi="Times New Roman;Times;Serif"/>
          <w:b w:val="false"/>
          <w:i w:val="false"/>
          <w:caps w:val="false"/>
          <w:smallCaps w:val="false"/>
          <w:sz w:val="20"/>
        </w:rPr>
        <w:t>0.1 million to operating expenses related to the Company’s contributions to 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Bayer Acquisition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assumed an assignment, license, development and commercialization agreement dated March 17, 2017, with Bayer (the “Bayer Acquisition Agreement”), to acquire from Bayer all right, title and interest in and to PHP-303, including each and every invention and any priority rights relating to its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Bayer Acquisition Agreement, the Company is committed to pay certain development and regulatory milestones up to an aggregate amount of $</w:t>
      </w:r>
      <w:bookmarkStart w:id="693" w:name="xdx_90A_eus-gaap--BusinessCombinationCon"/>
      <w:bookmarkEnd w:id="693"/>
      <w:r>
        <w:rPr>
          <w:rFonts w:ascii="Times New Roman;Times;Serif" w:hAnsi="Times New Roman;Times;Serif"/>
          <w:b w:val="false"/>
          <w:i w:val="false"/>
          <w:caps w:val="false"/>
          <w:smallCaps w:val="false"/>
          <w:sz w:val="20"/>
        </w:rPr>
        <w:t>23,500,000 and high single digit royalties based on the sale of products developed based on the licensed compound.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terminate the Bayer Acquisition Agreement upon prior written notice for the other party’s material breach that remains uncured for a specified period of time or insolvency. Bayer agreed not to assert any Bayer intellectual property rights that were included in the scope of the Bayer Acquisition Agreement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incurred </w:t>
      </w:r>
      <w:bookmarkStart w:id="694" w:name="xdx_90F_eus-gaap--BusinessCombinationCon"/>
      <w:bookmarkEnd w:id="694"/>
      <w:r>
        <w:rPr>
          <w:rFonts w:ascii="Times New Roman;Times;Serif" w:hAnsi="Times New Roman;Times;Serif"/>
          <w:b w:val="false"/>
          <w:i w:val="false"/>
          <w:caps w:val="false"/>
          <w:smallCaps w:val="false"/>
          <w:sz w:val="20"/>
        </w:rPr>
        <w:t>zero expenses under this agreement as no milestones have been achieved since inception, and no products were sold from inception through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a former employee of Peak Bio CA, Inc. subsidiary filed a claim stating that they are entitled to certain discretionary bonuses from 2022 totaling less than $</w:t>
      </w:r>
      <w:bookmarkStart w:id="695" w:name="xdx_907_eus-gaap--AccruedBonusesCurrentA"/>
      <w:bookmarkEnd w:id="695"/>
      <w:r>
        <w:rPr>
          <w:rFonts w:ascii="Times New Roman;Times;Serif" w:hAnsi="Times New Roman;Times;Serif"/>
          <w:b w:val="false"/>
          <w:i w:val="false"/>
          <w:caps w:val="false"/>
          <w:smallCaps w:val="false"/>
          <w:sz w:val="20"/>
        </w:rPr>
        <w:t>0.1 million. The Company denies the former employee’s claim and intends to defend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Payable Settlements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the three and six months ended June 30, 2025, the Company entered into settlement agreements with vendors for the settlement of outstanding payables. This resulted in a gain on settlement of current liabilities of $</w:t>
      </w:r>
      <w:bookmarkStart w:id="696" w:name="xdx_90D_ecustom--GainOnSettlementOfCurre"/>
      <w:bookmarkEnd w:id="696"/>
      <w:r>
        <w:rPr>
          <w:rFonts w:ascii="Times New Roman;Times;Serif" w:hAnsi="Times New Roman;Times;Serif"/>
          <w:b w:val="false"/>
          <w:i w:val="false"/>
          <w:caps w:val="false"/>
          <w:smallCaps w:val="false"/>
          <w:sz w:val="20"/>
        </w:rPr>
        <w:t>0.2 million and $</w:t>
      </w:r>
      <w:bookmarkStart w:id="697" w:name="xdx_90B_ecustom--GainOnSettlementOfCurre"/>
      <w:bookmarkStart w:id="698" w:name="xdx_908_ecustom--GainOnSettlementOfCurre"/>
      <w:bookmarkEnd w:id="697"/>
      <w:bookmarkEnd w:id="698"/>
      <w:r>
        <w:rPr>
          <w:rFonts w:ascii="Times New Roman;Times;Serif" w:hAnsi="Times New Roman;Times;Serif"/>
          <w:b w:val="false"/>
          <w:i w:val="false"/>
          <w:caps w:val="false"/>
          <w:smallCaps w:val="false"/>
          <w:sz w:val="20"/>
        </w:rPr>
        <w:t xml:space="preserve">1.2 million, respectively, which is reflected in the unaudited condensed consolidated statements of operations. </w:t>
      </w:r>
      <w:bookmarkStart w:id="699" w:name="xdx_907_ecustom--GainOnSettlementOfCurre"/>
      <w:bookmarkEnd w:id="699"/>
      <w:r>
        <w:rPr>
          <w:rFonts w:ascii="Times New Roman;Times;Serif" w:hAnsi="Times New Roman;Times;Serif"/>
          <w:b w:val="false"/>
          <w:i w:val="false"/>
          <w:caps w:val="false"/>
          <w:smallCaps w:val="false"/>
          <w:sz w:val="20"/>
        </w:rPr>
        <w:t>No gain on settlement of current liabilities was recognized during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0" w:name="xdx_80C_eus-gaap--SubsequentEventsTextBl"/>
      <w:bookmarkEnd w:id="700"/>
      <w:r>
        <w:rPr>
          <w:rFonts w:ascii="Times New Roman;Times;Serif" w:hAnsi="Times New Roman;Times;Serif"/>
          <w:b/>
          <w:i w:val="false"/>
          <w:caps w:val="false"/>
          <w:smallCaps w:val="false"/>
          <w:sz w:val="20"/>
        </w:rPr>
        <w:t xml:space="preserve">Note 14. </w:t>
      </w:r>
      <w:bookmarkStart w:id="701" w:name="xdx_82B_zASaa9tLUsa1"/>
      <w:bookmarkEnd w:id="701"/>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we entered into an agreement to conduct a strategic research collaboration with Whitehawk Therapeutics, a clinical-stage oncology therapeutics company applying advanced technologies to established tumor biology to efficiently develop improved ADC cancer treatments. Under the collaboration, we will conduct a series of focused preclinical studies evaluating Akari’s proprietary PH1 spliceosome-modulating payload technology in combination with Whitehawk’s topoisomerase I inhibitor ADC platform. We will lead the design, execution and evaluation of the research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the quarter ended June 30, 2026 and through the date these condensed consolidated financial statements were issued, the Company issued an aggregate of </w:t>
      </w:r>
      <w:bookmarkStart w:id="702" w:name="xdx_90E_eus-gaap--StockIssuedDuringPerio"/>
      <w:bookmarkEnd w:id="702"/>
      <w:r>
        <w:rPr>
          <w:rFonts w:ascii="Times New Roman;Times;Serif" w:hAnsi="Times New Roman;Times;Serif"/>
          <w:b w:val="false"/>
          <w:i w:val="false"/>
          <w:caps w:val="false"/>
          <w:smallCaps w:val="false"/>
          <w:sz w:val="20"/>
        </w:rPr>
        <w:t>196,572 ADSs (</w:t>
      </w:r>
      <w:bookmarkStart w:id="703" w:name="xdx_90E_eus-gaap--StockIssuedDuringPerio"/>
      <w:bookmarkEnd w:id="703"/>
      <w:r>
        <w:rPr>
          <w:rFonts w:ascii="Times New Roman;Times;Serif" w:hAnsi="Times New Roman;Times;Serif"/>
          <w:b w:val="false"/>
          <w:i w:val="false"/>
          <w:caps w:val="false"/>
          <w:smallCaps w:val="false"/>
          <w:sz w:val="20"/>
        </w:rPr>
        <w:t>15,725,760,000 ordinary shares), which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04" w:name="xdx_90D_eus-gaap--StockIssuedDuringPerio"/>
            <w:bookmarkEnd w:id="704"/>
            <w:r>
              <w:rPr>
                <w:rFonts w:ascii="Times New Roman;Times;Serif" w:hAnsi="Times New Roman;Times;Serif"/>
                <w:b w:val="false"/>
                <w:i w:val="false"/>
                <w:caps w:val="false"/>
                <w:smallCaps w:val="false"/>
                <w:sz w:val="20"/>
              </w:rPr>
              <w:t>22,474 ADSs (</w:t>
            </w:r>
            <w:bookmarkStart w:id="705" w:name="xdx_90D_eus-gaap--StockIssuedDuringPerio"/>
            <w:bookmarkEnd w:id="705"/>
            <w:r>
              <w:rPr>
                <w:rFonts w:ascii="Times New Roman;Times;Serif" w:hAnsi="Times New Roman;Times;Serif"/>
                <w:b w:val="false"/>
                <w:i w:val="false"/>
                <w:caps w:val="false"/>
                <w:smallCaps w:val="false"/>
                <w:sz w:val="20"/>
              </w:rPr>
              <w:t>1,797,920,000 ordinary shares) upon the exercise of outstanding prefunded warrants, resulting in cash proceeds to the Company in accordance with the applicable warrant agreements;</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06" w:name="xdx_903_eus-gaap--StockIssuedDuringPerio"/>
            <w:bookmarkEnd w:id="706"/>
            <w:r>
              <w:rPr>
                <w:rFonts w:ascii="Times New Roman;Times;Serif" w:hAnsi="Times New Roman;Times;Serif"/>
                <w:b w:val="false"/>
                <w:i w:val="false"/>
                <w:caps w:val="false"/>
                <w:smallCaps w:val="false"/>
                <w:sz w:val="20"/>
              </w:rPr>
              <w:t>20,451 ADSs (</w:t>
            </w:r>
            <w:bookmarkStart w:id="707" w:name="xdx_90A_eus-gaap--StockIssuedDuringPerio"/>
            <w:bookmarkEnd w:id="707"/>
            <w:r>
              <w:rPr>
                <w:rFonts w:ascii="Times New Roman;Times;Serif" w:hAnsi="Times New Roman;Times;Serif"/>
                <w:b w:val="false"/>
                <w:i w:val="false"/>
                <w:caps w:val="false"/>
                <w:smallCaps w:val="false"/>
                <w:sz w:val="20"/>
              </w:rPr>
              <w:t xml:space="preserve">1,636,080,000 ordinary shares) upon the vesting and settlement of RSUs previously granted to a consultant under the Company's 2023 Equity Plan (as disclosed in Note 7); </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08" w:name="xdx_903_eus-gaap--StockIssuedDuringPerio"/>
            <w:bookmarkEnd w:id="708"/>
            <w:r>
              <w:rPr>
                <w:rFonts w:ascii="Times New Roman;Times;Serif" w:hAnsi="Times New Roman;Times;Serif"/>
                <w:b w:val="false"/>
                <w:i w:val="false"/>
                <w:caps w:val="false"/>
                <w:smallCaps w:val="false"/>
                <w:sz w:val="20"/>
              </w:rPr>
              <w:t>117,647 ADSs (</w:t>
            </w:r>
            <w:bookmarkStart w:id="709" w:name="xdx_90B_eus-gaap--StockIssuedDuringPerio"/>
            <w:bookmarkEnd w:id="709"/>
            <w:r>
              <w:rPr>
                <w:rFonts w:ascii="Times New Roman;Times;Serif" w:hAnsi="Times New Roman;Times;Serif"/>
                <w:b w:val="false"/>
                <w:i w:val="false"/>
                <w:caps w:val="false"/>
                <w:smallCaps w:val="false"/>
                <w:sz w:val="20"/>
              </w:rPr>
              <w:t>9,411,760,000 ordinary shares) issued to Paulson in accordance with the Paulson PAA as compensation for services rendered in connection with the Company's May 2026 Private Placement (as described in Note 7); and</w:t>
            </w:r>
          </w:p>
        </w:tc>
      </w:tr>
    </w:tbl>
    <w:p>
      <w:pPr>
        <w:pStyle w:val="TextBody"/>
        <w:bidi w:val="0"/>
        <w:spacing w:before="0" w:after="0"/>
        <w:ind w:left="864" w:right="0" w:hanging="36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10" w:name="xdx_903_eus-gaap--StockIssuedDuringPerio"/>
            <w:bookmarkEnd w:id="710"/>
            <w:r>
              <w:rPr>
                <w:rFonts w:ascii="Times New Roman;Times;Serif" w:hAnsi="Times New Roman;Times;Serif"/>
                <w:b w:val="false"/>
                <w:i w:val="false"/>
                <w:caps w:val="false"/>
                <w:smallCaps w:val="false"/>
                <w:sz w:val="20"/>
              </w:rPr>
              <w:t>36,000 ADSs (</w:t>
            </w:r>
            <w:bookmarkStart w:id="711" w:name="xdx_90D_eus-gaap--StockIssuedDuringPerio"/>
            <w:bookmarkEnd w:id="711"/>
            <w:r>
              <w:rPr>
                <w:rFonts w:ascii="Times New Roman;Times;Serif" w:hAnsi="Times New Roman;Times;Serif"/>
                <w:b w:val="false"/>
                <w:i w:val="false"/>
                <w:caps w:val="false"/>
                <w:smallCaps w:val="false"/>
                <w:sz w:val="20"/>
              </w:rPr>
              <w:t>2,880,000,000 ordinary shares) issued to White Lion in connection with the ELOC Purchase Agreement.</w:t>
            </w:r>
          </w:p>
        </w:tc>
      </w:tr>
    </w:tbl>
    <w:p>
      <w:pPr>
        <w:pStyle w:val="TextBody"/>
        <w:bidi w:val="0"/>
        <w:spacing w:before="0" w:after="0"/>
        <w:ind w:left="0" w:right="0" w:hanging="0"/>
        <w:jc w:val="both"/>
        <w:rPr>
          <w:caps w:val="false"/>
          <w:smallCaps w:val="false"/>
        </w:rPr>
      </w:pPr>
      <w:bookmarkStart w:id="712" w:name="xdx_810_z7Z2V9Oyjefc"/>
      <w:bookmarkEnd w:id="71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3" w:name="ak_008"/>
      <w:bookmarkEnd w:id="713"/>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unaudited condensed consolidated financial statements and accompanying notes included in Part I, Item 1 of this Form 10-Q;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audited consolidated financial statements and accompanying notes included in our Form 10-K, as well as the information contained under the heading “Management’s Discussion and Analysis of Financial Condition and Results of Operations” in our Form 10-K.</w:t>
            </w:r>
          </w:p>
        </w:tc>
      </w:tr>
    </w:tbl>
    <w:p>
      <w:pPr>
        <w:pStyle w:val="TextBody"/>
        <w:bidi w:val="0"/>
        <w:spacing w:before="0" w:after="0"/>
        <w:ind w:left="979"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historical information, this discussion and analysis contains forward-looking statements that are subject to risks and uncertainties, including those discussed in the section titled “Risk Factors,” set forth in Item 1A of our Form 10-K, that could cause actual results to differ materially from historical results or anticipated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oncology company developing next generation ADCs designed around novel payload biology. Our platform is anchored by PH1, a spliceosome modulating payload that in preclinical settings has demonstrated cytotoxic activity and robust activation of the immune system to attack cancer. Our business is focused on advancing our lead program, AKTX-101, through IND enabling activities and clinical readiness while maintaining the ability to expand the PH1 based ADC pipeline, as capital and priorities permit. We also have a second program, including AKTX-102, a CEACAM5 directed ADC program, that is earlier in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are a class of cancer therapies that combine the precision targeting of antibodies with payload toxins that attack cancer cells. To date, innovation in the field of ADC therapies has focused primarily on the development of novel antibodies linked to existing classes of payload toxins. For example, there is a range of approved ADCs with antibodies that target the Her2, Trop-2, CD19, CD22, CD30, Nectin-4, Tissue Factor, and FR alpha antibodies. But there is a surprising lack of diversity in the payload toxins to which those antibodies are linked, as all of these marketed products, and more than 90% of ADCs in late-stage clinical development of which we are aware, utilize payloads from just two standard classes: (1) microtubule inhibitors or (2) DNA-damaging agents such as topoisomerase I inhibitors.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differentiated ADC discovery and development platform (our “ADC Platform”) enables us to generate a range of ADC product candidates that pair our novel payloads with biologically validated antibody targets prevalent in cancer tumors. We believe that our focus on the development of ADCs that utilize our novel payloads may allow us to develop ADCs with benefits that include:</w:t>
      </w:r>
    </w:p>
    <w:p>
      <w:pPr>
        <w:pStyle w:val="TextBody"/>
        <w:bidi w:val="0"/>
        <w:spacing w:before="0" w:after="0"/>
        <w:ind w:left="0" w:right="0" w:hanging="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170"/>
        <w:gridCol w:w="4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effective cancer-killing properties, or cytotoxicity;</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robust activation of the immune system to drive greater and more enduring efficacy in treating cancer sustained duration of response of tumor regression or elimination;</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be used in combination with checkpoint inhibitors to potentially deliver synergistic efficacy results (more than additive) to drive potential longer-term cancer remissions;</w:t>
            </w:r>
          </w:p>
        </w:tc>
      </w:tr>
    </w:tbl>
    <w:p>
      <w:pPr>
        <w:pStyle w:val="TextBody"/>
        <w:bidi w:val="0"/>
        <w:spacing w:before="0" w:after="0"/>
        <w:ind w:left="864" w:right="0" w:hanging="36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tumor resistance leading to superior outcomes; and</w:t>
            </w:r>
          </w:p>
        </w:tc>
      </w:tr>
    </w:tbl>
    <w:p>
      <w:pPr>
        <w:pStyle w:val="TextBody"/>
        <w:bidi w:val="0"/>
        <w:spacing w:before="0" w:after="0"/>
        <w:ind w:left="864" w:right="0" w:hanging="36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improved safety and tolerability relative to ADCs that are currently available.</w:t>
            </w:r>
          </w:p>
        </w:tc>
      </w:tr>
    </w:tbl>
    <w:p>
      <w:pPr>
        <w:pStyle w:val="TextBody"/>
        <w:bidi w:val="0"/>
        <w:spacing w:before="0" w:after="0"/>
        <w:ind w:left="864"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product candidate is AKTX-101, a preclinical stage Trop-2-targeting ADC that combines PH1 with a Trop-2 targeting antibody. Trop-2 is an antigen that is expressed in a number of highly incident solid tumors, including lung, breast, bladder, head and neck, gastric, pancreatic, colon, prostate, and others. We aim to establish AKTX-101 as a best-in-class Trop-2-targeting ADC for the treatment of a variety of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activities since inception have consisted of performing research and development activities and raising capital.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products available for commercial sale, and we have not generated any product revenue from our portfolio of product candidates or other sources. Our ability to generate revenue sufficient to achieve profitability, if ever, will depend on the successful development and eventual commercialization of our potential therapies, which we expect, if it ever occurs, will take a number of years. The research and development efforts require significant amounts of additional capital and adequate personnel infrastructure. There can be no assurance that our research and development activities will be successfully completed, or that our potential therapies will be commercially viable.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AKTX-101 IND-Enabling Plan and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near-term operational strategy remains focused on advancing AKTX-101 into IND-enabling activities and clinical readiness while maintaining the ability to expand our PH1-based ADC pipeline as capital and priorities permit. AKTX-101 is a preclinical Trop2–targeting ADC that combines PH1 with a proprietary non-cleavable linker and antibody construct. We are prioritizing the program’s path to Phase 1 clinical trials through the coordinated execution of GMP product supply and non-clinical data package workstreams that support IND/Phase 1 enabling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Contract Development and Manufacturing Organizations (“CDMOs”) for development, scale-up, and GMP production of materials used in our research and development activities. In December 2025, we announced the initiation of GMP manufacturing activities for AKTX-101 and selected WuXi Biologics/XDC as our partner for this GMP product supply and related IND-enabling work. This milestone supports our timeline for our Phase 1 first-in-human study described in our public communications while we maintain an efficient, high-quality, and reliable virtual manufacturing model for clinical-grade supply. In December 2025, we publicly described that based on our anticipated GMP product supply and IND-enabling activities and planning, we are projected to advance AKTX-101 into clinical trials by middle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Research Collaboration with Whitehawk Therapeutics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we announced a strategic research collaboration with Whitehawk Therapeutics, a clinical-stage oncology therapeutics company applying advanced technologies to established tumor biology to efficiently develop improved ADC cancer treatments. Under the collaboration, we will conduct a series of focused preclinical studies evaluating Akari’s proprietary PH1 spliceosome-modulating payload technology in combination with Whitehawk’s topoisomerase I inhibitor ADC platform. We will lead the design, execution and evaluation of the research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Publication American Association for Cancer Research (AACR) Cancer Research Journal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2026, we issued a press release announcing the presentation of positive preclinical data for our lead TROP2-targeting ADC, AKTX-101, at the American Association for Cancer Research (AACR) Annual Meeting 2026. The preclinical data compares the performance of AKTX-101 versus TROP2 ADCs with Topoisomerase I Inhibitor payloads in the killing of different cancer types driven by different cancer genes (oncogenes). AKTX-101’s ability to kill cancer cells at lower concentrations vs. TROP2 ADCs using Topoisomerase I Inhibitor payloads suggests in our view that AKTX-101 is a more potent drug. The preclinical data was published as an abstract in </w:t>
      </w:r>
      <w:r>
        <w:rPr>
          <w:rFonts w:ascii="Times New Roman;Times;Serif" w:hAnsi="Times New Roman;Times;Serif"/>
          <w:b w:val="false"/>
          <w:i/>
          <w:caps w:val="false"/>
          <w:smallCaps w:val="false"/>
          <w:sz w:val="20"/>
        </w:rPr>
        <w:t>Cancer Research</w:t>
      </w:r>
      <w:r>
        <w:rPr>
          <w:rFonts w:ascii="Times New Roman;Times;Serif" w:hAnsi="Times New Roman;Times;Serif"/>
          <w:b w:val="false"/>
          <w:i w:val="false"/>
          <w:caps w:val="false"/>
          <w:smallCaps w:val="false"/>
          <w:sz w:val="20"/>
        </w:rPr>
        <w:t>, an AACR journal.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AKTX-101 demonstrated greater potency and/or greater maximum cancer cell killing relative to TROP2 ADC Topoisomerase I Inhibitor payloads in cancers of the bladder, lung and breast. AKTX-101 demonstrated sub-nanomolar potency in all bladder cancer lines tested, a key tumor in which first-in-human clinical trials for AKTX-101 are planned. AKTX-101 also demonstrated sub-nanomolar potency in several non-small cell lung cancer cell lines driven by EGFR, BRAF, and SMARCA4, as well as potent cell killing in HER2 breast cancer cell lines with inherent resistance to Topoisomerase I Inhibitor ADCs such as trastuzumab deruxtecan (ENHERTU™). We believe that these findings show that AKTX-101 has strong potential for targeting a broad range of cancer tumors and sub-types with superior cytotoxicity than current TROP2 ADCs that use Topoisomerase I Inhibitor payloads.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Publication at the American Society of Clinical Oncology (ASCO)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we issued a press release announcing breakthrough preclinical data demonstrating synergistic activity of AKTX-101 with KRAS inhibition in KRAS-mutated pancreatic cancer models, which was featured in an online publication at the American Society of Clinical Oncology (ASCO) Annual Meeting 2026. This provides continued validation of our novel RNA splicing modulator payload platform for ADCs, and its broad potential in treating a wide range of cancer tumors, including those with KRAS mutations, a rapidly expanding therapeutic category. We believe this data highlights a growing body of evidence demonstrating that targeting RNA splicing in cancer cells could be a powerful way to attack even the most difficult cancers.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 Expanding Protection Around AKTX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patents and other proprietary rights are an essential element of our business. 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 and defending our patent applications and patents if they are subjected to challenge by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received Australian patent protection covering the PH1 RNA splicing modulator ADC payload, and a European patent that provides composition of matter protection for our Thailanstatin-based payloads.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May 2026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closed a private placement (“May 2026 Private Placement”) with certain investors in two tranches on May 27, 2026 and June 26, 2026 providing for the issuance and sale of an aggregate of 1,470,588 ADSs, (or prefunded warrants to purchase ADSs in lieu thereof), each representing 80,000 of the Company’s ordinary shares, and, accompanying each ADS (or prefunded warrant in lieu thereof), one Series H warrants to purchase one ADS, one Series I warrants to purchase one ADS and one Series J warrants to purchase one ADS. The purchase price per ADS and accompanying series warrants was equal to $3.74 and the purchase price per prefunded warrant and accompanying series warrants was equal to $3.739. For more information, please refer to “Financial Condition, Liquidity and Capital Resources – May 2026 Private Placement”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our loss from operations totaled $4.6 million, as compared to a loss from operations of $3.1 million for the three months ended June 30, 2025, which was primarily driven by increase in research and development activities. During the six months ended June 30, 2026, our loss from operations totaled $20.4 million, as compared to a loss from operations of $6.6 million for the six months ended June 30, 2025, which was primarily due to a $12.1 million non-cash impairment on other intangible assets and goodwill. Our total operating expenses are set forth by category in the table below:</w:t>
      </w:r>
    </w:p>
    <w:p>
      <w:pPr>
        <w:pStyle w:val="TextBody"/>
        <w:bidi w:val="0"/>
        <w:spacing w:before="0" w:after="0"/>
        <w:ind w:left="0" w:right="0" w:hanging="0"/>
        <w:jc w:val="both"/>
        <w:rPr>
          <w:caps w:val="false"/>
          <w:smallCaps w:val="false"/>
        </w:rPr>
      </w:pPr>
      <w:r>
        <w:rPr>
          <w:caps w:val="false"/>
          <w:smallCaps w:val="false"/>
        </w:rPr>
        <w:t> </w:t>
      </w:r>
    </w:p>
    <w:tbl>
      <w:tblPr>
        <w:tblW w:w="10102" w:type="dxa"/>
        <w:jc w:val="left"/>
        <w:tblInd w:w="0" w:type="dxa"/>
        <w:tblLayout w:type="fixed"/>
        <w:tblCellMar>
          <w:top w:w="0" w:type="dxa"/>
          <w:left w:w="0" w:type="dxa"/>
          <w:bottom w:w="0" w:type="dxa"/>
          <w:right w:w="0" w:type="dxa"/>
        </w:tblCellMar>
      </w:tblPr>
      <w:tblGrid>
        <w:gridCol w:w="3965"/>
        <w:gridCol w:w="60"/>
        <w:gridCol w:w="140"/>
        <w:gridCol w:w="635"/>
        <w:gridCol w:w="95"/>
        <w:gridCol w:w="60"/>
        <w:gridCol w:w="140"/>
        <w:gridCol w:w="635"/>
        <w:gridCol w:w="95"/>
        <w:gridCol w:w="60"/>
        <w:gridCol w:w="179"/>
        <w:gridCol w:w="816"/>
        <w:gridCol w:w="95"/>
        <w:gridCol w:w="60"/>
        <w:gridCol w:w="146"/>
        <w:gridCol w:w="790"/>
        <w:gridCol w:w="99"/>
        <w:gridCol w:w="62"/>
        <w:gridCol w:w="146"/>
        <w:gridCol w:w="664"/>
        <w:gridCol w:w="95"/>
        <w:gridCol w:w="60"/>
        <w:gridCol w:w="140"/>
        <w:gridCol w:w="755"/>
        <w:gridCol w:w="110"/>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55" w:type="dxa"/>
            <w:gridSpan w:val="10"/>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5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3965" w:type="dxa"/>
            <w:tcBorders>
              <w:bottom w:val="single" w:sz="8"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2,077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816" w:type="dxa"/>
            <w:tcBorders/>
            <w:shd w:fill="FFFFFF" w:val="clear"/>
            <w:vAlign w:val="center"/>
          </w:tcPr>
          <w:p>
            <w:pPr>
              <w:pStyle w:val="TableContents"/>
              <w:bidi w:val="0"/>
              <w:spacing w:before="0" w:after="283"/>
              <w:jc w:val="right"/>
              <w:rPr/>
            </w:pPr>
            <w:r>
              <w:rPr/>
              <w:t>1,410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790" w:type="dxa"/>
            <w:tcBorders/>
            <w:shd w:fill="FFFFFF" w:val="clear"/>
            <w:vAlign w:val="center"/>
          </w:tcPr>
          <w:p>
            <w:pPr>
              <w:pStyle w:val="TableContents"/>
              <w:bidi w:val="0"/>
              <w:spacing w:before="0" w:after="283"/>
              <w:jc w:val="right"/>
              <w:rPr/>
            </w:pPr>
            <w:r>
              <w:rPr/>
              <w:t>3,536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664" w:type="dxa"/>
            <w:tcBorders/>
            <w:shd w:fill="FFFFFF" w:val="clear"/>
            <w:vAlign w:val="center"/>
          </w:tcPr>
          <w:p>
            <w:pPr>
              <w:pStyle w:val="TableContents"/>
              <w:bidi w:val="0"/>
              <w:spacing w:before="0" w:after="283"/>
              <w:jc w:val="right"/>
              <w:rPr/>
            </w:pPr>
            <w:r>
              <w:rPr/>
              <w:t>1,480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2,056</w:t>
            </w:r>
          </w:p>
        </w:tc>
        <w:tc>
          <w:tcPr>
            <w:tcW w:w="11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4,694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5,164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(470</w:t>
            </w:r>
          </w:p>
        </w:tc>
        <w:tc>
          <w:tcPr>
            <w:tcW w:w="11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Impairment loss on other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3,700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3,700</w:t>
            </w:r>
          </w:p>
        </w:tc>
        <w:tc>
          <w:tcPr>
            <w:tcW w:w="11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Impairment loss on 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pPr>
            <w:r>
              <w:rPr/>
              <w:t>8,430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8,430</w:t>
            </w:r>
          </w:p>
        </w:tc>
        <w:tc>
          <w:tcPr>
            <w:tcW w:w="11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4,602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FFFFFF" w:val="clear"/>
            <w:tcMar>
              <w:bottom w:w="28" w:type="dxa"/>
            </w:tcMar>
            <w:vAlign w:val="center"/>
          </w:tcPr>
          <w:p>
            <w:pPr>
              <w:pStyle w:val="TableContents"/>
              <w:bidi w:val="0"/>
              <w:spacing w:before="0" w:after="283"/>
              <w:jc w:val="right"/>
              <w:rPr/>
            </w:pPr>
            <w:r>
              <w:rPr/>
              <w:t>1,483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FFFFFF" w:val="clear"/>
            <w:tcMar>
              <w:bottom w:w="28" w:type="dxa"/>
            </w:tcMar>
            <w:vAlign w:val="center"/>
          </w:tcPr>
          <w:p>
            <w:pPr>
              <w:pStyle w:val="TableContents"/>
              <w:bidi w:val="0"/>
              <w:spacing w:before="0" w:after="283"/>
              <w:jc w:val="right"/>
              <w:rPr/>
            </w:pPr>
            <w:r>
              <w:rPr/>
              <w:t>20,360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pPr>
            <w:r>
              <w:rPr/>
              <w:t>6,644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13,716</w:t>
            </w:r>
          </w:p>
        </w:tc>
        <w:tc>
          <w:tcPr>
            <w:tcW w:w="11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(4,602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(3,119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(1,483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(20,360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(6,644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(13,716</w:t>
            </w:r>
          </w:p>
        </w:tc>
        <w:tc>
          <w:tcPr>
            <w:tcW w:w="110" w:type="dxa"/>
            <w:tcBorders/>
            <w:shd w:fill="CCEEFF" w:val="clear"/>
            <w:vAlign w:val="center"/>
          </w:tcPr>
          <w:p>
            <w:pPr>
              <w:pStyle w:val="TableContents"/>
              <w:bidi w:val="0"/>
              <w:spacing w:before="0" w:after="283"/>
              <w:jc w:val="left"/>
              <w:rPr/>
            </w:pPr>
            <w:r>
              <w:rPr/>
              <w:t>)</w:t>
            </w:r>
          </w:p>
        </w:tc>
      </w:tr>
      <w:tr>
        <w:trPr/>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1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settlement of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1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gain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6"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4"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before income taxes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(4,807</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1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(2,912</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(20,121</w:t>
            </w:r>
          </w:p>
        </w:tc>
        <w:tc>
          <w:tcPr>
            <w:tcW w:w="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(14,521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deferred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(4,807</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(2,912</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(19,262</w:t>
            </w:r>
          </w:p>
        </w:tc>
        <w:tc>
          <w:tcPr>
            <w:tcW w:w="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w:t>
            </w:r>
          </w:p>
        </w:tc>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(13,662</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are charged to operations as incurred, and we incur both direct and indirect expenses for each of our programs. We track direct research and development expenses by preclinical program, which may include third-party costs such as CDMOs, contract laboratories, and consulting. We do not allocate indirect research and development expenses, which may include product development and manufacturing, clinical, medical, regulatory, laboratory (equipment and supplies), personnel, facility and other overhead costs, to specific programs.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total research and development expenses increased by approximately $1.4 million, as compared to the three months ended June 30, 2025. During the six months ended June 30, 2026, total research and development expenses increased by approximately $2.1 million, as compared to the six months ended June 30, 2025. The following sets forth research and development expenses for the three and six months ended June 30, 2026 and 2025 by category:</w:t>
      </w:r>
    </w:p>
    <w:p>
      <w:pPr>
        <w:pStyle w:val="TextBody"/>
        <w:bidi w:val="0"/>
        <w:spacing w:before="0" w:after="0"/>
        <w:ind w:left="0" w:right="0" w:hanging="0"/>
        <w:jc w:val="both"/>
        <w:rPr>
          <w:caps w:val="false"/>
          <w:smallCaps w:val="false"/>
        </w:rPr>
      </w:pPr>
      <w:r>
        <w:rPr>
          <w:caps w:val="false"/>
          <w:smallCaps w:val="false"/>
        </w:rPr>
        <w:t> </w:t>
      </w:r>
    </w:p>
    <w:tbl>
      <w:tblPr>
        <w:tblW w:w="9796" w:type="dxa"/>
        <w:jc w:val="left"/>
        <w:tblInd w:w="0" w:type="dxa"/>
        <w:tblLayout w:type="fixed"/>
        <w:tblCellMar>
          <w:top w:w="0" w:type="dxa"/>
          <w:left w:w="0" w:type="dxa"/>
          <w:bottom w:w="0" w:type="dxa"/>
          <w:right w:w="0" w:type="dxa"/>
        </w:tblCellMar>
      </w:tblPr>
      <w:tblGrid>
        <w:gridCol w:w="3965"/>
        <w:gridCol w:w="60"/>
        <w:gridCol w:w="143"/>
        <w:gridCol w:w="572"/>
        <w:gridCol w:w="61"/>
        <w:gridCol w:w="61"/>
        <w:gridCol w:w="143"/>
        <w:gridCol w:w="388"/>
        <w:gridCol w:w="61"/>
        <w:gridCol w:w="61"/>
        <w:gridCol w:w="199"/>
        <w:gridCol w:w="796"/>
        <w:gridCol w:w="95"/>
        <w:gridCol w:w="60"/>
        <w:gridCol w:w="175"/>
        <w:gridCol w:w="703"/>
        <w:gridCol w:w="75"/>
        <w:gridCol w:w="75"/>
        <w:gridCol w:w="175"/>
        <w:gridCol w:w="703"/>
        <w:gridCol w:w="60"/>
        <w:gridCol w:w="60"/>
        <w:gridCol w:w="199"/>
        <w:gridCol w:w="796"/>
        <w:gridCol w:w="110"/>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5" w:type="dxa"/>
            <w:gridSpan w:val="10"/>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vAlign w:val="center"/>
          </w:tcPr>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965" w:type="dxa"/>
            <w:tcBorders>
              <w:bottom w:val="single" w:sz="8"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1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ADC preclinical development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572" w:type="dxa"/>
            <w:tcBorders/>
            <w:shd w:fill="CCEEFF" w:val="clear"/>
            <w:vAlign w:val="center"/>
          </w:tcPr>
          <w:p>
            <w:pPr>
              <w:pStyle w:val="TableContents"/>
              <w:bidi w:val="0"/>
              <w:spacing w:before="0" w:after="283"/>
              <w:jc w:val="right"/>
              <w:rPr/>
            </w:pPr>
            <w:r>
              <w:rPr/>
              <w:t>1,870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388" w:type="dxa"/>
            <w:tcBorders/>
            <w:shd w:fill="CCEEFF" w:val="clear"/>
            <w:vAlign w:val="center"/>
          </w:tcPr>
          <w:p>
            <w:pPr>
              <w:pStyle w:val="TableContents"/>
              <w:bidi w:val="0"/>
              <w:spacing w:before="0" w:after="283"/>
              <w:jc w:val="right"/>
              <w:rPr/>
            </w:pPr>
            <w:r>
              <w:rPr/>
              <w:t>145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1,725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3,107</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2,945</w:t>
            </w:r>
          </w:p>
        </w:tc>
        <w:tc>
          <w:tcPr>
            <w:tcW w:w="11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Other external development expenses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pPr>
            <w:r>
              <w:rPr/>
              <w:t>43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right"/>
              <w:rPr/>
            </w:pPr>
            <w:r>
              <w:rPr/>
              <w:t>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60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(129</w:t>
            </w:r>
          </w:p>
        </w:tc>
        <w:tc>
          <w:tcPr>
            <w:tcW w:w="11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Personnel costs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2" w:type="dxa"/>
            <w:tcBorders>
              <w:bottom w:val="single" w:sz="8" w:space="0" w:color="000000"/>
            </w:tcBorders>
            <w:shd w:fill="CCEEFF" w:val="clear"/>
            <w:tcMar>
              <w:bottom w:w="28" w:type="dxa"/>
            </w:tcMar>
            <w:vAlign w:val="center"/>
          </w:tcPr>
          <w:p>
            <w:pPr>
              <w:pStyle w:val="TableContents"/>
              <w:bidi w:val="0"/>
              <w:spacing w:before="0" w:after="283"/>
              <w:jc w:val="right"/>
              <w:rPr/>
            </w:pPr>
            <w:r>
              <w:rPr/>
              <w:t>164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CCEEFF" w:val="clear"/>
            <w:tcMar>
              <w:bottom w:w="28" w:type="dxa"/>
            </w:tcMar>
            <w:vAlign w:val="center"/>
          </w:tcPr>
          <w:p>
            <w:pPr>
              <w:pStyle w:val="TableContents"/>
              <w:bidi w:val="0"/>
              <w:spacing w:before="0" w:after="283"/>
              <w:jc w:val="right"/>
              <w:rPr/>
            </w:pPr>
            <w:r>
              <w:rPr/>
              <w:t>369</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CCEEFF" w:val="clear"/>
            <w:tcMar>
              <w:bottom w:w="28" w:type="dxa"/>
            </w:tcMar>
            <w:vAlign w:val="center"/>
          </w:tcPr>
          <w:p>
            <w:pPr>
              <w:pStyle w:val="TableContents"/>
              <w:bidi w:val="0"/>
              <w:spacing w:before="0" w:after="283"/>
              <w:jc w:val="right"/>
              <w:rPr/>
            </w:pPr>
            <w:r>
              <w:rPr/>
              <w:t>1,129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(760</w:t>
            </w:r>
          </w:p>
        </w:tc>
        <w:tc>
          <w:tcPr>
            <w:tcW w:w="11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72" w:type="dxa"/>
            <w:tcBorders>
              <w:bottom w:val="double" w:sz="6" w:space="0" w:color="000000"/>
            </w:tcBorders>
            <w:shd w:fill="FFFFFF" w:val="clear"/>
            <w:tcMar>
              <w:bottom w:w="28" w:type="dxa"/>
            </w:tcMar>
            <w:vAlign w:val="center"/>
          </w:tcPr>
          <w:p>
            <w:pPr>
              <w:pStyle w:val="TableContents"/>
              <w:bidi w:val="0"/>
              <w:spacing w:before="0" w:after="283"/>
              <w:jc w:val="right"/>
              <w:rPr/>
            </w:pPr>
            <w:r>
              <w:rPr/>
              <w:t>2,077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88" w:type="dxa"/>
            <w:tcBorders>
              <w:bottom w:val="double" w:sz="6" w:space="0" w:color="000000"/>
            </w:tcBorders>
            <w:shd w:fill="FFFFFF" w:val="clear"/>
            <w:tcMar>
              <w:bottom w:w="28" w:type="dxa"/>
            </w:tcMar>
            <w:vAlign w:val="center"/>
          </w:tcPr>
          <w:p>
            <w:pPr>
              <w:pStyle w:val="TableContents"/>
              <w:bidi w:val="0"/>
              <w:spacing w:before="0" w:after="283"/>
              <w:jc w:val="right"/>
              <w:rPr/>
            </w:pPr>
            <w:r>
              <w:rPr/>
              <w:t>667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6" w:type="dxa"/>
            <w:tcBorders>
              <w:bottom w:val="double" w:sz="6" w:space="0" w:color="000000"/>
            </w:tcBorders>
            <w:shd w:fill="FFFFFF" w:val="clear"/>
            <w:tcMar>
              <w:bottom w:w="28" w:type="dxa"/>
            </w:tcMar>
            <w:vAlign w:val="center"/>
          </w:tcPr>
          <w:p>
            <w:pPr>
              <w:pStyle w:val="TableContents"/>
              <w:bidi w:val="0"/>
              <w:spacing w:before="0" w:after="283"/>
              <w:jc w:val="right"/>
              <w:rPr/>
            </w:pPr>
            <w:r>
              <w:rPr/>
              <w:t>1,410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3" w:type="dxa"/>
            <w:tcBorders>
              <w:bottom w:val="double" w:sz="6" w:space="0" w:color="000000"/>
            </w:tcBorders>
            <w:shd w:fill="FFFFFF" w:val="clear"/>
            <w:tcMar>
              <w:bottom w:w="28" w:type="dxa"/>
            </w:tcMar>
            <w:vAlign w:val="center"/>
          </w:tcPr>
          <w:p>
            <w:pPr>
              <w:pStyle w:val="TableContents"/>
              <w:bidi w:val="0"/>
              <w:spacing w:before="0" w:after="283"/>
              <w:jc w:val="right"/>
              <w:rPr/>
            </w:pPr>
            <w:r>
              <w:rPr/>
              <w:t>3,536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3" w:type="dxa"/>
            <w:tcBorders>
              <w:bottom w:val="double" w:sz="6" w:space="0" w:color="000000"/>
            </w:tcBorders>
            <w:shd w:fill="FFFFFF" w:val="clear"/>
            <w:tcMar>
              <w:bottom w:w="28" w:type="dxa"/>
            </w:tcMar>
            <w:vAlign w:val="center"/>
          </w:tcPr>
          <w:p>
            <w:pPr>
              <w:pStyle w:val="TableContents"/>
              <w:bidi w:val="0"/>
              <w:spacing w:before="0" w:after="283"/>
              <w:jc w:val="right"/>
              <w:rPr/>
            </w:pPr>
            <w:r>
              <w:rPr/>
              <w:t>1,480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6" w:type="dxa"/>
            <w:tcBorders>
              <w:bottom w:val="double" w:sz="6" w:space="0" w:color="000000"/>
            </w:tcBorders>
            <w:shd w:fill="FFFFFF" w:val="clear"/>
            <w:tcMar>
              <w:bottom w:w="28" w:type="dxa"/>
            </w:tcMar>
            <w:vAlign w:val="center"/>
          </w:tcPr>
          <w:p>
            <w:pPr>
              <w:pStyle w:val="TableContents"/>
              <w:bidi w:val="0"/>
              <w:spacing w:before="0" w:after="283"/>
              <w:jc w:val="right"/>
              <w:rPr/>
            </w:pPr>
            <w:r>
              <w:rPr/>
              <w:t>2,056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ADC preclinical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expenses include external expenses that we incurred in connection with the discovery and pre-clinical development of our ADC platform and program(s) and primarily consist of payments to external vendors and consultants. In December 2025 we announced that based on our anticipated GMP product supply and IND-enabling activities and planning, we are projected to advance AKTX-101 into clinical trials by middle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external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expenses include external expenses to contract vendors that may be related to pre-clinical development activities, discontinued programs and unallocated expenses. The increase in expenses of less than $0.1 million incurred during the three months ended June 30, 2026, as compared to the three months ended June 30, 2025, was due to a recovery of expenses related to a trial for a nomacopan program. The decrease in expenses of $0.1 million incurred during the six months ended June 30, 2026, as compared to the six months ended June 30, 2025 is primarily related to lower costs related to our HSCT-TMA, PAS-nomacopan, and PHP-303 programs. In December 2024, we announced our decision to suspend these programs and find a collaborative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Personnel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expenses include compensation and related costs associated with employees. The decrease in expenses of $0.4 million and $0.8 million, incurred during the three and six months ended June 30, 2026, as compared to the three and six months ended March 31, 2025, respectively, is primarily due to decreases in non-cash stock-based compensation expense and lower cash-based salaries.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our future research and development expenditures will be determined based on future funding.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total general and administrative costs increased by less than $0.1 million as compared to the three months ended June 30, 2025, primarily due to an increase in non-cash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total general and administrative costs decreased by approximately $0.5 million as compared to the six months ended June 30, 2025, primarily due to a decrease in non-cash stock-based compensation expense of $0.4 million and a decrease in personnel and professional fees of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recognized non-cash impairment losses on goodwill, and in process research and development (“IPR&amp;D”) assets recorded in connection with our December 2024 merger with Peak Bio, Inc. The impairment assessment was triggered by the sustained decline in the Company’s market capitalization as of March 31, 2026, which required a reassessment of the carrying value of these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this assessment, goodwill was impaired based on the determination that the estimated fair value of the Company’s reporting unit was lower than its carrying value. In addition, management reassessed the valuation assumptions underlying the AKTX 101 IPR&amp;D asset, including expected development timelines, probability weighted cash flows, and discount rates, to reflect current market conditions, capital availability considerations, and the heightened uncertainty inherent in advancing the program under these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resulting IPR&amp;D impairment reflects the application of a risk adjusted valuation approach consistent with the available market evidence and the requirements of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impairment loss was recognized in the three months ended June 30, 2026 or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consists of amortization of debt issuance costs on the financing of director and officer insurance premiums and the April 2023 Convertible Notes. Refer to Note 6 and Note 12 of our unaudited condensed consolidated financial statements included in this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may fluctuate from period to period due to changes in average interest-bearing loans and related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settlement of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recognized a gain on settlement of current liabilities of approximately $0.2 million which relates to settlements with former vendors for outstanding payables. During the three and six months ended June 30, 2025, we recognized a gain on settlement of current liabilities of $1.2 million with a former vendor for outstanding payables. No settlements were recognized in the three months ended June 30,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represents non-cash warrant revaluation gains or losses related to the re-measurement of our liability-classified instruments, namely our September 2022 Warrants and the warrants we assumed on November 14, 2024, in connection with the Merger Closing (the “Peak Bio Warrants”). Due to the nature of and inputs in the model used to assess the fair value of our outstanding September 2022 Warrants and Peak Bio Warrants, it is not unusual to experience significant fluctuations during each re-measurement period. These fluctuations may be due to a variety of factors, including changes in our stock price and changes in estimated stock price volatility over the remaining life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we recorded a change in the fair value of warrant liabilities, representing a non-cash revaluation loss of $0.1 million each, which was primarily driven by an increase in our stock price and estimated stock price volatility. During the three and six months ended June 30, 2025, we recorded a change in the fair value of warrant liabilities, representing a non-cash revaluation gain of $0.1 million each, which was driven by a decrease in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recognized a non-cash revaluation gain of $0.2 million in relation to the embedded derivative in the White Lion ELOC, which was primarily attributable to the effect of the ADS Ratio Change. No such loss was recognized during the three months ended June 30, 2026 and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exchange gain,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and 2025, we recorded a net foreign currency exchange loss of less than $0.1 million each. During the six months ended June 30, 2026 and 2025, we recorded a net foreign currency exchange gain of less than $0.1 million each and a foreign currency exchange loss of approximately $0.2 million, respectively. Exchange gains and losses can fluctuate significantly from period to period due to changes in exchange rates, as well as the volume and timing of expenditures and related payments denominated in foreign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 from deferred 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recognized a deferred income tax recovery of $0.8 million, in connection with the impairment loss on other intangible assets described above. No such recovery was recognized during the three months ended June 30, 2026 and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Applicable to Common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loss applicable to common shareholders for the three months ended June 30, 2026 was $4.8 million, compared to net loss applicable to ordinary shareholders for the three months ended June 30, 2025 of $1.9 million. Our net loss applicable to common shareholders for the six months ended June 30, 2026 was $19.3 million, compared to net loss applicable to ordinary shareholders for the six months ended June 30, 2025 of $5.6 million.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substantial losses, and we have primarily funded our operations with proceeds from the sale of equity securities, including ordinary shares, warrants and pre-funded warrants, and convertible notes. On June 30, 2026, we had $7.7 million in cash and an accumulated deficit of $283.8 million. To date, we have not generated any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devoted substantially all of our efforts to research and development, including clinical trials, and we have not commercialized any products. Our research and development activities, together with our general and administrative expenses, are expected to continue to result in substantial operating losses for the foreseeable future. These losses, among other things, have had and will continue to have an adverse effect on our shareholders’ equity, total assets and working capital. Due to the numerous risks and uncertainties associated with developing drug candidates and, if approved, commercial products, we are unable to predict the extent of any future losses, whether or when any of our drug candidates will become commercially available or when we will become profitable, if at all. Our future capital requirements will depend on many factors, including:</w:t>
      </w:r>
    </w:p>
    <w:p>
      <w:pPr>
        <w:pStyle w:val="TextBody"/>
        <w:bidi w:val="0"/>
        <w:spacing w:before="0" w:after="0"/>
        <w:ind w:left="0" w:right="0" w:hanging="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and costs of our preclinical studies, clinical trials and other research and development activities;</w:t>
            </w:r>
          </w:p>
        </w:tc>
      </w:tr>
    </w:tbl>
    <w:p>
      <w:pPr>
        <w:pStyle w:val="TextBody"/>
        <w:bidi w:val="0"/>
        <w:spacing w:before="0" w:after="0"/>
        <w:ind w:left="864" w:right="0" w:hanging="360"/>
        <w:jc w:val="both"/>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75"/>
        <w:gridCol w:w="170"/>
        <w:gridCol w:w="8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prioritization and number of our clinical trials and other research and development programs;</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revenues and contributions we receive under future licensing, development and commercialization arrangements with respect to our product candidates;</w:t>
            </w:r>
          </w:p>
        </w:tc>
      </w:tr>
    </w:tbl>
    <w:p>
      <w:pPr>
        <w:pStyle w:val="TextBody"/>
        <w:bidi w:val="0"/>
        <w:spacing w:before="0" w:after="0"/>
        <w:ind w:left="864" w:right="0" w:hanging="36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the development and expansion of our operational infrastructure;</w:t>
            </w:r>
          </w:p>
        </w:tc>
      </w:tr>
    </w:tbl>
    <w:p>
      <w:pPr>
        <w:pStyle w:val="TextBody"/>
        <w:bidi w:val="0"/>
        <w:spacing w:before="0" w:after="0"/>
        <w:ind w:left="864" w:right="0" w:hanging="36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70"/>
        <w:gridCol w:w="6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obtaining regulatory approval for our product candidates;</w:t>
            </w:r>
          </w:p>
        </w:tc>
      </w:tr>
    </w:tbl>
    <w:p>
      <w:pPr>
        <w:pStyle w:val="TextBody"/>
        <w:bidi w:val="0"/>
        <w:spacing w:before="0" w:after="0"/>
        <w:ind w:left="864" w:right="0" w:hanging="36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170"/>
        <w:gridCol w:w="8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filing, prosecuting, enforcing and defending patent claims and other intellectual property rights;</w:t>
            </w:r>
          </w:p>
        </w:tc>
      </w:tr>
    </w:tbl>
    <w:p>
      <w:pPr>
        <w:pStyle w:val="TextBody"/>
        <w:bidi w:val="0"/>
        <w:spacing w:before="0" w:after="0"/>
        <w:ind w:left="864" w:right="0" w:hanging="360"/>
        <w:jc w:val="both"/>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securing manufacturing arrangements for clinical or commercial production;</w:t>
            </w:r>
          </w:p>
        </w:tc>
      </w:tr>
    </w:tbl>
    <w:p>
      <w:pPr>
        <w:pStyle w:val="TextBody"/>
        <w:bidi w:val="0"/>
        <w:spacing w:before="0" w:after="0"/>
        <w:ind w:left="864" w:right="0" w:hanging="36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contracting with third parties to provide sales and marketing capabilities for us;</w:t>
            </w:r>
          </w:p>
        </w:tc>
      </w:tr>
    </w:tbl>
    <w:p>
      <w:pPr>
        <w:pStyle w:val="TextBody"/>
        <w:bidi w:val="0"/>
        <w:spacing w:before="0" w:after="0"/>
        <w:ind w:left="864" w:right="0" w:hanging="36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magnitude of our general and administrative expenses; and</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cost that we may incur under future in- and out-licensing arrangements relating to current or future product candidates.</w:t>
            </w:r>
          </w:p>
        </w:tc>
      </w:tr>
    </w:tbl>
    <w:p>
      <w:pPr>
        <w:pStyle w:val="TextBody"/>
        <w:bidi w:val="0"/>
        <w:spacing w:before="0" w:after="0"/>
        <w:ind w:left="864"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any commitments for future external funding. We will need to raise additional funds, and we may decide to raise additional funds even before we need such funds if the conditions for raising capital are available and/or favorable. Until we can generate significant recurring revenues, we expect to satisfy our future cash needs through debt or equity financings, credit facilities or by out-licensing arrangements of our product candidates. The sale of equity or convertible debt securities may result in dilution to our existing shareholders. The incurrence of indebtedness would result in increased fixed obligations and could also subject us to covenants that restrict our operations. We cannot be certain that additional funding, whether through grants, financings, credit facilities or out-licensing arrangements, will be available to us on acceptable terms, if at all. If sufficient funds are not available, we may be required to delay, reduce the scope of or eliminate research or development plans for, or commercialization efforts with respect to, one or more applications of our product candidates, or obtain funds through arrangements with collaborators or others that may require us to relinquish rights to certain potential products that we might otherwise seek to develop or commercialize independently.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2026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entered into a securities purchase agreement with certain investors pursuant to which the Company sold and issued in a private placement (the “May 2026 Private Placement”) an aggregate of 1,470,588 unregistered American Depository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or prefunded warrants to purchase ADSs (“Pre-Funded Warrants”), each ADS representing 80,000 of the Company’s ordinary shares per ADS, together with one Series H warrants, one Series I warrants and one Series J warrants to purchase an equivalent number of ADSs (the Series H, Series I, and Series J warrants collectively referred to as the “</w:t>
      </w:r>
      <w:r>
        <w:rPr>
          <w:rFonts w:ascii="Times New Roman;Times;Serif" w:hAnsi="Times New Roman;Times;Serif"/>
          <w:b w:val="false"/>
          <w:i w:val="false"/>
          <w:caps w:val="false"/>
          <w:smallCaps w:val="false"/>
          <w:sz w:val="20"/>
          <w:u w:val="single"/>
        </w:rPr>
        <w:t>Series Warrants</w:t>
      </w:r>
      <w:r>
        <w:rPr>
          <w:rFonts w:ascii="Times New Roman;Times;Serif" w:hAnsi="Times New Roman;Times;Serif"/>
          <w:b w:val="false"/>
          <w:i w:val="false"/>
          <w:caps w:val="false"/>
          <w:smallCaps w:val="false"/>
          <w:sz w:val="20"/>
        </w:rPr>
        <w:t>”). The purchase price per ADS and accompanying Series Warrants was equal to $3.74 and the purchase price per Pre-Funded Warrant and accompanying Series Warrants was equal to $3.739.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H Warrants, Series I Warrants, and Series J Warrants were issued on June 30, 2026, following requisite shareholder approval and are exercisable at a price of $3.74 per ADS. The Series H Warrants have an eighteen-month term, and the Series I and J warrants have a five-year term. The Pre-Funded Warrants have an exercise price of $0.001 per ADS, became exercisable immediately when issued and may be exercised at any time until all of the Pre-Funded Warrants are exercised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close of the May 2026 Private Placement, the Company incurred a total of approximately $0.1 million in placement agent fees with Paulson Investment Company, LLC (“Paulson”) and were required to issue 117,647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the May 2026 Private Placement were approximately $5.2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White Lion Ordinary Share Purchase and Registration Rights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2025, the Company entered into the ELOC Purchase Agreement and White Lion RRA with White Lion Capital. Pursuant to the ELOC Purchase Agreement, the Company had the right, but not the obligation, to require White Lion to purchase, from time to time, up to $25,000,000 in aggregate gross purchase price of newly issued Ordinary Shares, which may be exchanged for ADSs, subject to certain limitations and conditions set forth in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 right to commence any sales of Ordinary Shares to White Lion under the ELOC Purchase Agreement until all conditions to the Company’s right to commence sales, as set forth in the ELOC Purchase Agreement, have been satisfied, including that a registration statement covering the resale of such shares is declared effective by the SEC and the final form of prospectus is filed with the SEC. Over the period ending on the earlier of (i) the date on which the Purchaser shall have purchased Ordinary Shares pursuant to the ELOC Purchase Agreement for an aggregate purchase price equal to the Commitment Amount or (ii) August 29, 2028 (the “Commitment Period”), subject to the conditions of the ELOC Purchase Agreement, the Company will control the timing and amount of any sales of Ordinary Shares to the Purchaser. Actual sales of Ordinary Shares to the Purchaser under the ELOC Purchase Agreement will depend on a variety of factors to be determined by the Company from time to time, including, among others, market conditions, the trading price of the ADSs, and determinations made by the Company as to appropriate levels and sources of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Ordinary Shares that the Company elects to sell to the Purchaser pursuant to the ELOC Purchase Agreement will be determined based on the type of Purchase Notice issued,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Purchase Option 1: The lowest traded price of the ADSs on the notice date.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Purchase Option 2: 97% of the lowest traded price of the ADSs during the two hours following the Purchaser’s confirmed receipt of the notice.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Purchase Option 3: The lowest of (i) the opening price of the ADSs on the notice date, (ii) the closing price of the ADSs on the prior business day, or (iii) the volume-weighted average price (VWAP) on the notice date, with a 20% discount if the trading price is below the opening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VWAP Purchase: 97% of the lowest daily VWAP during a two-day valuation period for the first $12,500,000 of closings, and 98% thereafter.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may the Company issue to the Purchaser under the ELOC Purchase Agreement more than 13,039,369,358 Ordinary Shares (the “Exchange Cap”), which equals 19.99% of the Company’s outstanding Ordinary Shares as of the Execution Date, unless the Company obtains shareholder approval to issue shares in excess of the Exchange Cap or the average price paid for all Ordinary Shares issued under the agreement is equal to or greater than the Minimum Price (as defined in the ELOC Purchase Agreement). In any event, the ELOC Purchase Agreement provides that the Company may not issue or sell any Ordinary Shares if such issuance or sale would breach any applicable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prohibits the Company from directing the Purchaser to purchase any Ordinary Shares if those shares, when aggregated with all other Ordinary Shares then beneficially owned by the Purchaser (as calculated pursuant to Section 13(d) of the Securities Exchange Act of 1934, as amended), would result in the Purchaser beneficially owning more than 4.99% of the outstanding Ordinary Shares (the “Beneficial Ownership Limitation”), which may be increased to 9.99% at the Purchaser’s discretion upon 61 days’ prior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Purchaser’s execution of the ELOC Purchase Agreement, the Company will pay a document preparation fee of $15,000, to be deducted from the proceeds related to the first Purchase Notice, and cash commitment fees of $37,500 when aggregate Purchase Notices exceed $500,000 and $87,500 (or $125,000 if $1,000,000 is reached first) when aggregate Purchase Notices exceed $1,000,000. Additionally, if the Company fails to close at least $625,000 in purchases by the 180th day after the Registration Statement’s effective date, the Company will issue ADSs, represented by Ordinary Shares, equivalent to $75,000 divided by the lowest traded ADS price during a 10-day period preceding that date (the “Commitment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ELOC Purchase Agreement, the Company and the Purchaser entered into the White Lion RRA, pursuant to which the Company agreed to file the ELOC Resale Registration Statement. The Company filed the ELOC Resale Registration Statement on August 29, 2025, which was subsequently amended on June 26, 2026, and was declared effective by the SEC on July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no outstanding purchase notices issued to White 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our existing cash is sufficient to fund our operations into December 2026. While we have additional funding activities in progress to fund our operations, we will need to raise additional capital to continue to fund our operations and service our obligations in the future. If we are unable to raise additional capital when needed, we will not be able to continue as a going concern. We do not currently have any products approved for sale and do not generate any revenue from product sales. We are currently seeking and expect to continue to seek additional funding through financings of equity and/or debt securities. We may also engage in strategic research and development collaborations, pre-clinical and clinical funding arrangements, the sale or license of technology assets, and/or other strategic alternatives.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may not be available to us when we need it, or on favorable or acceptable terms, or at all. We could be required to seek funds through means that may require us to relinquish rights to some of our technologies, drug candidates or drugs that we would otherwise pursue on our own. In addition, if we raise additional funds by issuing equity securities, our then existing shareholders may experience dilution. The terms of any financing may adversely affect the holdings or the rights of existing shareholders. An equity financing that involves existing shareholders may cause a concentration of ownership. Debt financing, if available, may involve agreements that include covenants limiting or restricting our ability to take specific actions, such as incurring additional debt, making capital expenditures or declaring dividends, and are likely to include rights that are senior to the holders of our ordinary shares. Any additional debt or equity financing may contain terms which are not favorable to us or to our shareholders, such as liquidation and other preferences, or liens or other restrictions on our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capital when required or on acceptable terms, we may be required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significantly delay, scale back, or discontinue the development or commercialization of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strategic alliances for research and development programs at an earlier stage than otherwise would be desirable or that we otherwise would have sought to develop independently, or on terms that are less favorable than might otherwise be available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dispose of technology assets, including current product candidates, or relinquish or license on unfavorable terms, our rights to technologies or any of our product candidates that we otherwise would seek to develop or commercialize ourselves;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the sale of our company to a third party at a price that may result in a loss on investment for our shareholders;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for bankruptcy or cease operations altogether.</w:t>
            </w:r>
          </w:p>
        </w:tc>
      </w:tr>
    </w:tbl>
    <w:p>
      <w:pPr>
        <w:pStyle w:val="TextBody"/>
        <w:bidi w:val="0"/>
        <w:spacing w:before="0" w:after="0"/>
        <w:ind w:left="994"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994"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have a material adverse effect on our business, operating results,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key factors which will affect our ability to obtain funding 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receptivity of the capital markets to financings by biotechnology companies generally and companies with drug candidates and technologies similar to ours specifically;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receptivity of the capital markets to any in-licensing, product acquisition or other transaction we may enter into or attempt to enter into;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preclinical and clinical development activities in our drug candidates we develop on the timelines anticipated;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and potentially competitive products and technologies and investors’ receptivity to our drug candidates we develop and the technology underlying them in light of competitive products and technologies;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outcome of regulatory reviews.</w:t>
            </w:r>
          </w:p>
        </w:tc>
      </w:tr>
    </w:tbl>
    <w:p>
      <w:pPr>
        <w:pStyle w:val="TextBody"/>
        <w:bidi w:val="0"/>
        <w:spacing w:before="0" w:after="0"/>
        <w:ind w:left="994"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increases in expenses or delays in clinical development may adversely impact our cash position and require additional funds or cost reductions.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recurring losses from operations incurred since inception, our expectation of continuing operating losses for the foreseeable future, negative operating cash flows for the foreseeable future, and the need to raise additional capital to finance its future operations, we have concluded that there is substantial doubt regarding our ability to continue as a going concern within one year after the date that our condensed consolidated financial statements, included in this Form 10-Q (such condensed consolidated financial statements, the “consolidated financial statements”) are issued. Because of these uncertainties, the accompanying consolidated financial statements have been prepared assuming that we will continue as a going concern, which contemplates the realization of assets and the satisfaction of liabilities in the normal course of business. As such, the accompanying consolidated financial statements do not reflect any adjustments relating to the recoverability and classification of recorded assets and liabilities that might be necessary if we are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sources and uses of cash for each of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5967" w:type="dxa"/>
        <w:jc w:val="left"/>
        <w:tblInd w:w="0" w:type="dxa"/>
        <w:tblLayout w:type="fixed"/>
        <w:tblCellMar>
          <w:top w:w="0" w:type="dxa"/>
          <w:left w:w="0" w:type="dxa"/>
          <w:bottom w:w="0" w:type="dxa"/>
          <w:right w:w="0" w:type="dxa"/>
        </w:tblCellMar>
      </w:tblPr>
      <w:tblGrid>
        <w:gridCol w:w="3890"/>
        <w:gridCol w:w="60"/>
        <w:gridCol w:w="156"/>
        <w:gridCol w:w="711"/>
        <w:gridCol w:w="106"/>
        <w:gridCol w:w="67"/>
        <w:gridCol w:w="156"/>
        <w:gridCol w:w="711"/>
        <w:gridCol w:w="110"/>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provided by: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711" w:type="dxa"/>
            <w:tcBorders/>
            <w:shd w:fill="FFFFFF" w:val="clear"/>
            <w:vAlign w:val="center"/>
          </w:tcPr>
          <w:p>
            <w:pPr>
              <w:pStyle w:val="TableContents"/>
              <w:bidi w:val="0"/>
              <w:spacing w:before="0" w:after="283"/>
              <w:jc w:val="right"/>
              <w:rPr/>
            </w:pPr>
            <w:r>
              <w:rPr/>
              <w:t>(5,597</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711" w:type="dxa"/>
            <w:tcBorders/>
            <w:shd w:fill="FFFFFF" w:val="clear"/>
            <w:vAlign w:val="center"/>
          </w:tcPr>
          <w:p>
            <w:pPr>
              <w:pStyle w:val="TableContents"/>
              <w:bidi w:val="0"/>
              <w:spacing w:before="0" w:after="283"/>
              <w:jc w:val="right"/>
              <w:rPr/>
            </w:pPr>
            <w:r>
              <w:rPr/>
              <w:t>(5,406</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8,088</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5,514</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Effect of exchange rates on cash</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b/>
              </w:rPr>
            </w:pPr>
            <w:r>
              <w:rPr>
                <w:b/>
              </w:rPr>
              <w:t>Net change in cash</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jc w:val="right"/>
              <w:rPr/>
            </w:pPr>
            <w:r>
              <w:rPr/>
              <w:t>2,491</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jc w:val="right"/>
              <w:rPr/>
            </w:pPr>
            <w:r>
              <w:rPr/>
              <w:t>112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Operating Activities. </w:t>
      </w:r>
      <w:r>
        <w:rPr>
          <w:rFonts w:ascii="Times New Roman;Times;Serif" w:hAnsi="Times New Roman;Times;Serif"/>
          <w:b w:val="false"/>
          <w:i w:val="false"/>
          <w:caps w:val="false"/>
          <w:smallCaps w:val="false"/>
          <w:sz w:val="20"/>
        </w:rPr>
        <w:t>The net cash used in operating activities for the periods presented consists primarily of our net loss adjusted for non-cash charges and changes in components of working capital. The increase in cash used in operating activities during the six months ended June 30, 2026, as compared to the six months ended June 30, 2025, was primarily due to an increase in 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Investment Activities.</w:t>
      </w:r>
      <w:r>
        <w:rPr>
          <w:rFonts w:ascii="Times New Roman;Times;Serif" w:hAnsi="Times New Roman;Times;Serif"/>
          <w:b w:val="false"/>
          <w:i w:val="false"/>
          <w:caps w:val="false"/>
          <w:smallCaps w:val="false"/>
          <w:sz w:val="20"/>
        </w:rPr>
        <w:t xml:space="preserve"> There were no investing activities during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Activities.</w:t>
      </w:r>
      <w:r>
        <w:rPr>
          <w:rFonts w:ascii="Times New Roman;Times;Serif" w:hAnsi="Times New Roman;Times;Serif"/>
          <w:b w:val="false"/>
          <w:i w:val="false"/>
          <w:caps w:val="false"/>
          <w:smallCaps w:val="false"/>
          <w:sz w:val="20"/>
        </w:rPr>
        <w:t xml:space="preserve"> Net cash provided by financing activities primarily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 aggregate of $0.2 million in net proceeds received from the second closing of the December 2025 financing, $5.2 million in net proceeds received from the May 2026 Private Placement, and $3.0 million in net proceeds from warrant exercises partially offset by $0.3 million of payments for our insurance premium financing and repayments of notes payable; and</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 aggregate of $5.9 million in net proceeds received from the March 2025 Private Placement, an aggregate of $0.3 million received in advance for pre-funded warrants issued in the March 2025 Private Placement, partially offset by $0.5 million of payments related to our promissory notes and $0.3 million of payments for our insurance premium financing.</w:t>
            </w:r>
          </w:p>
        </w:tc>
      </w:tr>
    </w:tbl>
    <w:p>
      <w:pPr>
        <w:pStyle w:val="TextBody"/>
        <w:bidi w:val="0"/>
        <w:spacing w:before="0" w:after="0"/>
        <w:ind w:left="864"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864"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Insurance Financing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entered into a short-term financing arrangement with a third-party vendor to finance insurance premiums. The aggregate amount financed under this agreement was $0.5 million which is scheduled to be paid in monthly installments through October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outstanding convertible notes and promissory notes with third parties, assumed from the acquisition of Peak Bio Inc., as more fully described in Note 6 to our unaudited condensed consolidated financial statements appearing in this Form 10-Q. As of June 30, 2026, these obligations are expected to result in principal payments of approximately $0.7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a variety of agreements and financial commitments in the normal course of business. The terms generally provide us the option to cancel, reschedule and adjust our requirements based on our business needs, prior to the delivery of goods or performance of services. However, it is not possible to predict the amount of future payments under these agreements due to the conditional nature of our obligations and the unique facts and circumstances involved in each particular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management’s discussion and analysis of financial condition and results of operations is based on our unaudited condensed consolidated financial statements, which have been prepared in accordance with U.S. GAAP. In doing so, we must make estimates and assumptions that affect our reported amounts of assets, liabilities and expenses, as well as related disclosure of contingent assets and liabilities. On an ongoing basis, management evaluates its estimates and judgments, including, but not limited to, those related to (i) fair value of warrants classified as liabilities and (ii) impairment assessment of goodwill and other intangible assets.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an accounting estimate or assumption underlying our financial statements as a “critical accounting estimate”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estimate or assumption is material due to the level of subjectivity and judgment necessary to account for highly uncertain matters or the susceptibility of such matters to change;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estimates and assumptions on financial condition or operating performance is material.</w:t>
            </w:r>
          </w:p>
        </w:tc>
      </w:tr>
    </w:tbl>
    <w:p>
      <w:pPr>
        <w:pStyle w:val="TextBody"/>
        <w:bidi w:val="0"/>
        <w:spacing w:before="0" w:after="0"/>
        <w:ind w:left="864"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Item 7. Management’s Discussion and Analysis of Financial Condition and Results of Operations — Critical Accounting Estimates”</w:t>
      </w:r>
      <w:r>
        <w:rPr>
          <w:rFonts w:ascii="Times New Roman;Times;Serif" w:hAnsi="Times New Roman;Times;Serif"/>
          <w:b w:val="false"/>
          <w:i w:val="false"/>
          <w:caps w:val="false"/>
          <w:smallCaps w:val="false"/>
          <w:sz w:val="20"/>
        </w:rPr>
        <w:t xml:space="preserve"> of our Form 10-K, for a discussion of significant estimates and assumptions made by our management as part of the preparation of this management’s discussion and analysis of financial condition and results of operations and accompanying condensed consolidated financial statements. There have been no material changes to our critical accounting estimates since December 31, 2025, except the estimates related to other intangible assets and goodwill as of June 30, 2026. Refer to Note 3 of our unaudited condensed consolidated financial statements included in Part I, Item 1 of this Form 10-Q for further details of our impairment assessment of goodwill and other intangibles assets during the quarter ending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4" w:name="ak_009"/>
      <w:bookmarkEnd w:id="714"/>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Securities Exchange Act of 1934, as amended, and are not required to provide the information required under this item.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5" w:name="ak_010"/>
      <w:bookmarkEnd w:id="715"/>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under “Part II - Item 9A - Controls and Procedures” in our 2025 Form 10-K, management concluded that our internal control over financial reporting was not effective at the reasonable assurance level as of December 31, 2025, due to (i) lack of formalized controls over Information Technology and General Controls (QuickBooks) and (ii) lack of formalized designed and implemented internal controls (Purchase to Pay).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remediation efforts in the quarter ending December 31, 2025, to address the material weaknesses, as well as other identified areas of risk. For a complete description of management’s remediation plan, see “Part II - Item 9A - Controls and Procedures” in our 2025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principal executive officer and principal financial officer, evaluated the effectiveness of our disclosure controls and procedures (as defined in Rules 13a-15(f) and 15d-15(f) under the Exchange Act) as of June 30, 2026. In designing and evaluating our disclosure controls and procedures, management recognizes that any controls and procedures, no matter how well designed and operated, can provide only reasonable assurance of achieving their objectives and our management necessarily applied its judgment in evaluating the cost-benefit relationship of possible controls and procedures. Based on this evaluation and previously identified material weaknesses in internal control over financial reporting, our principal executive officer and principal financial officer concluded that our disclosure controls and procedures were not effective at a reasonable assurance level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Implementation of Remediation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with oversight from the Audit Committee, began the implementation of the remediation efforts to our internal controls over financial reporting in order to remediate the control deficiencies that resulted in the material weaknesses as previously disclosed in our 2025 Form 10-K. We believe that the remediation steps disclosed under “Part II - Item 9A - Controls and Procedures” in our 2025 Form 10-K, will allow us to address the deficient controls within our internal control environment, which will facilitate the remediation of the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began the implementation of these remediation efforts as described in our 2025 Form 10-K, we will not be able to consider the material weaknesses as remediated until the applicable remedial controls operate for a sufficient period of time and our management has concluded, through testing, that our controls are operating effectively. We, along with our Audit Committee, will continue to monitor and evaluate the effectiveness of these remedial actions and take further actions as deemed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already implemented the remediation efforts to address the material weaknesses described in our 2025 Form 10-K, pending testing of the design and effectiveness of these newly implemented controls over a sufficient period. Other than the above, there were no changes in our internal control over financial reporting that occurred during the fiscal quarter ended June 30, 2026, that have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16" w:name="ak_011"/>
      <w:bookmarkEnd w:id="716"/>
      <w:r>
        <w:rPr>
          <w:rFonts w:ascii="Times New Roman;Times;Serif" w:hAnsi="Times New Roman;Times;Serif"/>
          <w:b/>
          <w:i w:val="false"/>
          <w:caps w:val="false"/>
          <w:smallCaps w:val="false"/>
          <w:sz w:val="20"/>
        </w:rPr>
        <w:t>PART II—OTHER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7" w:name="ak_012"/>
      <w:bookmarkEnd w:id="717"/>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relating to claims arising out of operations in the normal course of business, which we consider routine and incidental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13 of the Notes to our condensed consolidated financial statements related to commitments and contingencies,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8" w:name="ak_013"/>
      <w:bookmarkEnd w:id="718"/>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You should carefully consider the risks and uncertainties discussed within “</w:t>
      </w:r>
      <w:r>
        <w:rPr>
          <w:rFonts w:ascii="Times New Roman;Times;Serif" w:hAnsi="Times New Roman;Times;Serif"/>
          <w:b w:val="false"/>
          <w:i/>
          <w:caps w:val="false"/>
          <w:smallCaps w:val="false"/>
          <w:sz w:val="20"/>
        </w:rPr>
        <w:t>Item 1A. Risk Factors”</w:t>
      </w:r>
      <w:r>
        <w:rPr>
          <w:rFonts w:ascii="Times New Roman;Times;Serif" w:hAnsi="Times New Roman;Times;Serif"/>
          <w:b w:val="false"/>
          <w:i w:val="false"/>
          <w:caps w:val="false"/>
          <w:smallCaps w:val="false"/>
          <w:sz w:val="20"/>
        </w:rPr>
        <w:t xml:space="preserve"> of our Form 10-K, together with all of the other information in this Form 10-Q, including the section “Management’s Discussion and Analysis of Financial Condition and Results of Operations” and our unaudited condensed consolidated financial statements and related notes, before deciding whether to purchase any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have IPR&amp;D and future impairment of IPR&amp;D may have an adverse impact on our future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IPR&amp;D of approximately $30.3 million, primarily relating to AKTX-101 and our ADC Platform. Our intangible assets have been previously impaired and remain subject to additional impairment analyses whenever an event or change in circumstances indicates the carrying amount of such an asset may not be recoverable. Events giving rise to impairment are difficult to predict and are an inherent risk in the pharmaceutical industry. Some of the potential risks that could result in further impairment of our IPR&amp;D include negative preclinical or clinical trial results, adverse regulatory developments, delay or failure to obtain regulatory approval, additional development costs, changes in the manner of our use or development of our product candidates, competition, earlier than expected loss of exclusivity, pricing pressures, higher operating costs, our inability to identify or enter into strategic partnerships, collaborations or out-licensing arrangements on acceptable terms or at all, geopolitical conflicts, changes in tax laws, prices that third parties are willing to pay for our IPR&amp;D or similar assets in an arm’s length transaction being less than the carrying value of our IPR&amp;D, declines in our market capitalization, and other adverse market and economic environment changes or trends. Any and all of these conditions are reasonably likely to exist in the future and materialization of these risks or other changes in circumstances may lead to significant impairment charges on our IPR&amp;D in the future, which could materially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9" w:name="ak_014"/>
      <w:bookmarkEnd w:id="719"/>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we did not have any sales of unregistered securities, other than as previously disclosed by us in a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0" w:name="ak_015"/>
      <w:bookmarkEnd w:id="720"/>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1" w:name="ak_016"/>
      <w:bookmarkEnd w:id="721"/>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2" w:name="ak_017"/>
      <w:bookmarkEnd w:id="722"/>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our directors or “officers,” as defined in Rule 16a-1(f) under the Securities Exchange Act of 1934, </w:t>
      </w:r>
      <w:bookmarkStart w:id="723" w:name="xdx_900_eecd--NonRule10b51ArrAdoptedFlag"/>
      <w:bookmarkStart w:id="724" w:name="xdx_90E_eecd--Rule10b51ArrAdoptedFlag_db"/>
      <w:bookmarkEnd w:id="723"/>
      <w:bookmarkEnd w:id="724"/>
      <w:r>
        <w:rPr>
          <w:rFonts w:ascii="Times New Roman;Times;Serif" w:hAnsi="Times New Roman;Times;Serif"/>
          <w:b w:val="false"/>
          <w:i w:val="false"/>
          <w:caps w:val="false"/>
          <w:smallCaps w:val="false"/>
          <w:sz w:val="20"/>
        </w:rPr>
        <w:t xml:space="preserve">adopted, </w:t>
      </w:r>
      <w:bookmarkStart w:id="725" w:name="xdx_905_ecustom--NonRule10b51ArrModified"/>
      <w:bookmarkStart w:id="726" w:name="xdx_90F_ecustom--Rule10b51ArrModifiedFla"/>
      <w:bookmarkEnd w:id="725"/>
      <w:bookmarkEnd w:id="726"/>
      <w:r>
        <w:rPr>
          <w:rFonts w:ascii="Times New Roman;Times;Serif" w:hAnsi="Times New Roman;Times;Serif"/>
          <w:b w:val="false"/>
          <w:i w:val="false"/>
          <w:caps w:val="false"/>
          <w:smallCaps w:val="false"/>
          <w:sz w:val="20"/>
        </w:rPr>
        <w:t xml:space="preserve">modified or </w:t>
      </w:r>
      <w:bookmarkStart w:id="727" w:name="xdx_908_eecd--NonRule10b51ArrTrmntdFlag_"/>
      <w:bookmarkStart w:id="728" w:name="xdx_908_eecd--Rule10b51ArrTrmntdFlag_dbF"/>
      <w:bookmarkEnd w:id="727"/>
      <w:bookmarkEnd w:id="728"/>
      <w:r>
        <w:rPr>
          <w:rFonts w:ascii="Times New Roman;Times;Serif" w:hAnsi="Times New Roman;Times;Serif"/>
          <w:b w:val="false"/>
          <w:i w:val="false"/>
          <w:caps w:val="false"/>
          <w:smallCaps w:val="false"/>
          <w:sz w:val="20"/>
        </w:rPr>
        <w:t>terminated a “Rule 10b5-1 trading arrangement” or a “non-Rule 10b5-1 trading arrangement,” as defined in Item 408(c) of Regulation S-K, which are intended to satisfy the affirmative defense conditions of Rule 10b5-1(c), during the fiscal quarter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9" w:name="ak_018"/>
      <w:bookmarkEnd w:id="72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2"/>
        <w:gridCol w:w="60"/>
        <w:gridCol w:w="9403"/>
      </w:tblGrid>
      <w:tr>
        <w:trPr/>
        <w:tc>
          <w:tcPr>
            <w:tcW w:w="742" w:type="dxa"/>
            <w:tcBorders>
              <w:bottom w:val="single" w:sz="8" w:space="0" w:color="000000"/>
            </w:tcBorders>
            <w:shd w:fill="FFFFFF" w:val="clear"/>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4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shd w:fill="FFFF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Form of Pre-Funded Warrant (incorporated by reference to Exhibit 4.1 to Registrant’s Current Report on Form 8-K, as filed with the SEC on May 22, 2026)</w:t>
              </w:r>
            </w:hyperlink>
          </w:p>
        </w:tc>
      </w:tr>
      <w:tr>
        <w:trPr/>
        <w:tc>
          <w:tcPr>
            <w:tcW w:w="74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shd w:fill="FFFF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Form of Series H Warrant (incorporated by reference to Exhibit 4.2 to Registrant’s Current Report on Form 8-K, as filed with the SEC on May 22, 2026)</w:t>
              </w:r>
            </w:hyperlink>
          </w:p>
        </w:tc>
      </w:tr>
      <w:tr>
        <w:trPr/>
        <w:tc>
          <w:tcPr>
            <w:tcW w:w="74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shd w:fill="FFFF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Series I Warrant (incorporated by reference to Exhibit 4.3 to Registrant’s Current Report on Form 8-K, as filed with the SEC on May 22, 2026)</w:t>
              </w:r>
            </w:hyperlink>
          </w:p>
        </w:tc>
      </w:tr>
      <w:tr>
        <w:trPr/>
        <w:tc>
          <w:tcPr>
            <w:tcW w:w="74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shd w:fill="FFFF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Series J Warrant (incorporated by reference to Exhibit 4.4 to Registrant’s Current Report on Form 8-K, as filed with the SEC on May 22, 2026)</w:t>
              </w:r>
            </w:hyperlink>
          </w:p>
        </w:tc>
      </w:tr>
      <w:tr>
        <w:trPr/>
        <w:tc>
          <w:tcPr>
            <w:tcW w:w="74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shd w:fill="FFFF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Securities Purchase Agreement, dated May 20, 2026, by and among Akari Therapeutics, Plc and the purchasers party thereto (incorporated by reference to Exhibit 10.1 to Registrant’s Current Report on Form 8-K, as filed with the SEC on May 22, 2026)</w:t>
              </w:r>
            </w:hyperlink>
          </w:p>
        </w:tc>
      </w:tr>
      <w:tr>
        <w:trPr/>
        <w:tc>
          <w:tcPr>
            <w:tcW w:w="74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shd w:fill="FFFF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Form of Amendment to Securities Purchase Agreement, dated June 23, 2026, by and among Akari Therapeutics, Plc and the purchasers party thereto (incorporated by reference to Exhibit 10.1 to Registrant’s Current Report on Form 8-K, as filed with the SEC on June 26, 2026)</w:t>
              </w:r>
            </w:hyperlink>
          </w:p>
        </w:tc>
      </w:tr>
      <w:tr>
        <w:trPr/>
        <w:tc>
          <w:tcPr>
            <w:tcW w:w="74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shd w:fill="FFFFFF" w:val="clear"/>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74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shd w:fill="FFFFFF" w:val="clear"/>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74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shd w:fill="FFFFFF" w:val="clear"/>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4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shd w:fill="FFFFFF" w:val="clear"/>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4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Document–the instance document does not appear in the Interactive Data File as its XBRL tags are embedded within the Inline XBRL document.</w:t>
            </w:r>
          </w:p>
        </w:tc>
      </w:tr>
      <w:tr>
        <w:trPr/>
        <w:tc>
          <w:tcPr>
            <w:tcW w:w="74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lnline XBRL Taxonomy Extension Schema With Embedded Linkbase Documents.</w:t>
            </w:r>
          </w:p>
        </w:tc>
      </w:tr>
      <w:tr>
        <w:trPr/>
        <w:tc>
          <w:tcPr>
            <w:tcW w:w="74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Indicates management contract or compensatory arrangement.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30" w:name="ak_019"/>
      <w:bookmarkEnd w:id="73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r>
        <w:rPr>
          <w:rFonts w:ascii="Times New Roman;Times;Serif" w:hAnsi="Times New Roman;Times;Serif"/>
          <w:b/>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tbl>
      <w:tblPr>
        <w:tblW w:w="5340" w:type="dxa"/>
        <w:jc w:val="left"/>
        <w:tblInd w:w="0" w:type="dxa"/>
        <w:tblLayout w:type="fixed"/>
        <w:tblCellMar>
          <w:top w:w="0" w:type="dxa"/>
          <w:left w:w="0" w:type="dxa"/>
          <w:bottom w:w="0" w:type="dxa"/>
          <w:right w:w="0" w:type="dxa"/>
        </w:tblCellMar>
      </w:tblPr>
      <w:tblGrid>
        <w:gridCol w:w="1865"/>
        <w:gridCol w:w="320"/>
        <w:gridCol w:w="3155"/>
      </w:tblGrid>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75"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Abizer Gaslightwala</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5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Abizer Gaslightwala</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55" w:type="dxa"/>
            <w:tcBorders/>
            <w:shd w:fill="FFFFFF" w:val="cle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President and Chief Executive Officer</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Kameel Farag</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5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Kameel Farag</w:t>
            </w:r>
          </w:p>
        </w:tc>
      </w:tr>
      <w:tr>
        <w:trPr/>
        <w:tc>
          <w:tcPr>
            <w:tcW w:w="18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55" w:type="dxa"/>
            <w:tcBorders/>
            <w:shd w:fill="FFFFFF" w:val="cle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Interim Chief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bookmarkStart w:id="731" w:name="ex31-1.htm"/>
      <w:bookmarkStart w:id="732" w:name="ksex311"/>
      <w:bookmarkEnd w:id="731"/>
      <w:bookmarkEnd w:id="73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Abizer Gaslightwala,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Akari Therapeutics, Plc;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tc>
      </w:tr>
    </w:tbl>
    <w:p>
      <w:pPr>
        <w:pStyle w:val="TextBody"/>
        <w:bidi w:val="0"/>
        <w:spacing w:before="0" w:after="0"/>
        <w:ind w:left="110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center"/>
        <w:rPr>
          <w:caps w:val="false"/>
          <w:smallCaps w:val="false"/>
        </w:rPr>
      </w:pPr>
      <w:r>
        <w:rPr>
          <w:caps w:val="false"/>
          <w:smallCaps w:val="false"/>
        </w:rPr>
        <w:t> </w:t>
      </w:r>
    </w:p>
    <w:tbl>
      <w:tblPr>
        <w:tblW w:w="3200" w:type="dxa"/>
        <w:jc w:val="left"/>
        <w:tblInd w:w="0" w:type="dxa"/>
        <w:tblLayout w:type="fixed"/>
        <w:tblCellMar>
          <w:top w:w="0" w:type="dxa"/>
          <w:left w:w="0" w:type="dxa"/>
          <w:bottom w:w="28" w:type="dxa"/>
          <w:right w:w="0" w:type="dxa"/>
        </w:tblCellMar>
      </w:tblPr>
      <w:tblGrid>
        <w:gridCol w:w="3125"/>
        <w:gridCol w:w="75"/>
      </w:tblGrid>
      <w:tr>
        <w:trPr/>
        <w:tc>
          <w:tcPr>
            <w:tcW w:w="31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Abizer Gaslightwala</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733" w:name="ex31-2.htm"/>
      <w:bookmarkStart w:id="734" w:name="ksex312"/>
      <w:bookmarkEnd w:id="733"/>
      <w:bookmarkEnd w:id="73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Kameel Farag,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Akari Therapeutics, Plc;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tc>
      </w:tr>
    </w:tbl>
    <w:p>
      <w:pPr>
        <w:pStyle w:val="TextBody"/>
        <w:bidi w:val="0"/>
        <w:spacing w:before="0" w:after="0"/>
        <w:ind w:left="110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1109"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both"/>
        <w:rPr>
          <w:caps w:val="false"/>
          <w:smallCaps w:val="false"/>
        </w:rPr>
      </w:pPr>
      <w:r>
        <w:rPr>
          <w:caps w:val="false"/>
          <w:smallCaps w:val="false"/>
        </w:rPr>
        <w:t> </w:t>
      </w:r>
    </w:p>
    <w:tbl>
      <w:tblPr>
        <w:tblW w:w="2660" w:type="dxa"/>
        <w:jc w:val="left"/>
        <w:tblInd w:w="0" w:type="dxa"/>
        <w:tblLayout w:type="fixed"/>
        <w:tblCellMar>
          <w:top w:w="0" w:type="dxa"/>
          <w:left w:w="0" w:type="dxa"/>
          <w:bottom w:w="28" w:type="dxa"/>
          <w:right w:w="0" w:type="dxa"/>
        </w:tblCellMar>
      </w:tblPr>
      <w:tblGrid>
        <w:gridCol w:w="2585"/>
        <w:gridCol w:w="75"/>
      </w:tblGrid>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Kameel Farag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Interim Chief Financial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735" w:name="ex32-1.htm"/>
      <w:bookmarkStart w:id="736" w:name="ksex321"/>
      <w:bookmarkEnd w:id="735"/>
      <w:bookmarkEnd w:id="7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Akari Therapeutics, Plc (the “Company”) on Form 10-Q for the quarter ended June 30,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(15 U.S.C. 78m or 78o(d));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979" w:right="0" w:hanging="490"/>
        <w:jc w:val="both"/>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3125"/>
        <w:gridCol w:w="75"/>
      </w:tblGrid>
      <w:tr>
        <w:trPr/>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Abizer Gaslightwala</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737" w:name="ex32-2.htm"/>
      <w:bookmarkStart w:id="738" w:name="ksex322"/>
      <w:bookmarkEnd w:id="737"/>
      <w:bookmarkEnd w:id="73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Akari Therapeutics, Plc (the “Company”) on Form 10-Q for the quarter ended June 30,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before="0" w:after="0"/>
        <w:ind w:left="0" w:right="0" w:firstLine="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(15 U.S.C. 78m or 78o(d));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979" w:right="0" w:hanging="490"/>
        <w:jc w:val="both"/>
        <w:rPr>
          <w:caps w:val="false"/>
          <w:smallCaps w:val="false"/>
        </w:rPr>
      </w:pPr>
      <w:r>
        <w:rPr>
          <w:caps w:val="false"/>
          <w:smallCaps w:val="false"/>
        </w:rPr>
        <w:t> </w:t>
      </w:r>
    </w:p>
    <w:tbl>
      <w:tblPr>
        <w:tblW w:w="2660" w:type="dxa"/>
        <w:jc w:val="left"/>
        <w:tblInd w:w="0" w:type="dxa"/>
        <w:tblLayout w:type="fixed"/>
        <w:tblCellMar>
          <w:top w:w="0" w:type="dxa"/>
          <w:left w:w="0" w:type="dxa"/>
          <w:bottom w:w="0" w:type="dxa"/>
          <w:right w:w="0" w:type="dxa"/>
        </w:tblCellMar>
      </w:tblPr>
      <w:tblGrid>
        <w:gridCol w:w="2585"/>
        <w:gridCol w:w="75"/>
      </w:tblGrid>
      <w:tr>
        <w:trPr/>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8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Kameel Farag</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8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Interim Chief Financial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8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1157/000149315226025037/ex4-1.htm" TargetMode="External"/><Relationship Id="rId3" Type="http://schemas.openxmlformats.org/officeDocument/2006/relationships/hyperlink" Target="https://www.sec.gov/Archives/edgar/data/1541157/000149315226025037/ex4-2.htm" TargetMode="External"/><Relationship Id="rId4" Type="http://schemas.openxmlformats.org/officeDocument/2006/relationships/hyperlink" Target="https://www.sec.gov/Archives/edgar/data/1541157/000149315226025037/ex4-3.htm" TargetMode="External"/><Relationship Id="rId5" Type="http://schemas.openxmlformats.org/officeDocument/2006/relationships/hyperlink" Target="https://www.sec.gov/Archives/edgar/data/1541157/000149315226025037/ex4-4.htm" TargetMode="External"/><Relationship Id="rId6" Type="http://schemas.openxmlformats.org/officeDocument/2006/relationships/hyperlink" Target="https://www.sec.gov/Archives/edgar/data/1541157/000149315226025037/ex10-1.htm" TargetMode="External"/><Relationship Id="rId7" Type="http://schemas.openxmlformats.org/officeDocument/2006/relationships/hyperlink" Target="https://www.sec.gov/Archives/edgar/data/1541157/000149315226030341/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20831</Words>
  <Characters>113754</Characters>
  <CharactersWithSpaces>136248</CharactersWithSpaces>
  <Paragraphs>6645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