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186" w:type="dxa"/>
        <w:jc w:val="left"/>
        <w:tblInd w:w="0" w:type="dxa"/>
        <w:tblLayout w:type="fixed"/>
        <w:tblCellMar>
          <w:top w:w="28" w:type="dxa"/>
          <w:left w:w="28" w:type="dxa"/>
          <w:bottom w:w="28" w:type="dxa"/>
          <w:right w:w="28" w:type="dxa"/>
        </w:tblCellMar>
      </w:tblPr>
      <w:tblGrid>
        <w:gridCol w:w="10186"/>
      </w:tblGrid>
      <w:tr>
        <w:trPr/>
        <w:tc>
          <w:tcPr>
            <w:tcW w:w="101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1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left"/>
              <w:rPr/>
            </w:pPr>
            <w:r>
              <w:rPr/>
              <w:t xml:space="preserve">UNDER THE SECURITIES EXCHANGE ACT OF 1934 </w:t>
            </w:r>
          </w:p>
        </w:tc>
      </w:tr>
      <w:tr>
        <w:trPr/>
        <w:tc>
          <w:tcPr>
            <w:tcW w:w="10186" w:type="dxa"/>
            <w:tcBorders/>
            <w:vAlign w:val="center"/>
          </w:tcPr>
          <w:p>
            <w:pPr>
              <w:pStyle w:val="TableContents"/>
              <w:bidi w:val="0"/>
              <w:spacing w:before="0" w:after="283"/>
              <w:jc w:val="left"/>
              <w:rPr>
                <w:sz w:val="4"/>
                <w:szCs w:val="4"/>
              </w:rPr>
            </w:pPr>
            <w:r>
              <w:rPr>
                <w:sz w:val="4"/>
                <w:szCs w:val="4"/>
              </w:rPr>
            </w:r>
          </w:p>
        </w:tc>
      </w:tr>
      <w:tr>
        <w:trPr/>
        <w:tc>
          <w:tcPr>
            <w:tcW w:w="10186" w:type="dxa"/>
            <w:tcBorders/>
            <w:vAlign w:val="center"/>
          </w:tcPr>
          <w:p>
            <w:pPr>
              <w:pStyle w:val="TableContents"/>
              <w:bidi w:val="0"/>
              <w:spacing w:before="0" w:after="0"/>
              <w:jc w:val="center"/>
              <w:rPr>
                <w:b/>
                <w:color w:val="0000FF"/>
              </w:rPr>
            </w:pPr>
            <w:r>
              <w:rPr>
                <w:b/>
                <w:color w:val="0000FF"/>
              </w:rPr>
              <w:t>Akari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center"/>
              <w:rPr>
                <w:b/>
                <w:color w:val="0000FF"/>
              </w:rPr>
            </w:pPr>
            <w:r>
              <w:rPr>
                <w:b/>
                <w:color w:val="0000FF"/>
              </w:rPr>
              <w:t>Ordinary Shares, par value $0.000000005 per share, (represented by American Depositary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1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186"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536"/>
        <w:gridCol w:w="7669"/>
      </w:tblGrid>
      <w:tr>
        <w:trPr/>
        <w:tc>
          <w:tcPr>
            <w:tcW w:w="2536" w:type="dxa"/>
            <w:tcBorders/>
            <w:vAlign w:val="center"/>
          </w:tcPr>
          <w:p>
            <w:pPr>
              <w:pStyle w:val="TableContents"/>
              <w:bidi w:val="0"/>
              <w:spacing w:before="0" w:after="283"/>
              <w:jc w:val="left"/>
              <w:rPr/>
            </w:pPr>
            <w:r>
              <w:rPr/>
              <w:t>1</w:t>
            </w:r>
          </w:p>
        </w:tc>
        <w:tc>
          <w:tcPr>
            <w:tcW w:w="766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 Lion Capital LLC</w:t>
            </w:r>
          </w:p>
        </w:tc>
      </w:tr>
      <w:tr>
        <w:trPr/>
        <w:tc>
          <w:tcPr>
            <w:tcW w:w="2536" w:type="dxa"/>
            <w:tcBorders/>
            <w:vAlign w:val="center"/>
          </w:tcPr>
          <w:p>
            <w:pPr>
              <w:pStyle w:val="TableContents"/>
              <w:bidi w:val="0"/>
              <w:spacing w:before="0" w:after="283"/>
              <w:jc w:val="left"/>
              <w:rPr/>
            </w:pPr>
            <w:r>
              <w:rPr/>
              <w:t>2</w:t>
            </w:r>
          </w:p>
        </w:tc>
        <w:tc>
          <w:tcPr>
            <w:tcW w:w="76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536" w:type="dxa"/>
            <w:tcBorders/>
            <w:vAlign w:val="center"/>
          </w:tcPr>
          <w:p>
            <w:pPr>
              <w:pStyle w:val="TableContents"/>
              <w:bidi w:val="0"/>
              <w:spacing w:before="0" w:after="283"/>
              <w:jc w:val="left"/>
              <w:rPr/>
            </w:pPr>
            <w:r>
              <w:rPr/>
              <w:t>3</w:t>
            </w:r>
          </w:p>
        </w:tc>
        <w:tc>
          <w:tcPr>
            <w:tcW w:w="7669" w:type="dxa"/>
            <w:tcBorders/>
            <w:vAlign w:val="center"/>
          </w:tcPr>
          <w:p>
            <w:pPr>
              <w:pStyle w:val="TableContents"/>
              <w:bidi w:val="0"/>
              <w:spacing w:before="0" w:after="283"/>
              <w:jc w:val="left"/>
              <w:rPr/>
            </w:pPr>
            <w:r>
              <w:rPr/>
              <w:t>Sec Use Only</w:t>
            </w:r>
          </w:p>
        </w:tc>
      </w:tr>
      <w:tr>
        <w:trPr/>
        <w:tc>
          <w:tcPr>
            <w:tcW w:w="2536" w:type="dxa"/>
            <w:tcBorders/>
            <w:vAlign w:val="center"/>
          </w:tcPr>
          <w:p>
            <w:pPr>
              <w:pStyle w:val="TableContents"/>
              <w:bidi w:val="0"/>
              <w:spacing w:before="0" w:after="283"/>
              <w:jc w:val="left"/>
              <w:rPr/>
            </w:pPr>
            <w:r>
              <w:rPr/>
              <w:t>4</w:t>
            </w:r>
          </w:p>
        </w:tc>
        <w:tc>
          <w:tcPr>
            <w:tcW w:w="76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53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7,001,638,477.00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7,001,638,477.00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669"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9</w:t>
            </w:r>
          </w:p>
        </w:tc>
        <w:tc>
          <w:tcPr>
            <w:tcW w:w="76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7,001,638,477.00</w:t>
            </w:r>
          </w:p>
        </w:tc>
      </w:tr>
      <w:tr>
        <w:trPr/>
        <w:tc>
          <w:tcPr>
            <w:tcW w:w="2536" w:type="dxa"/>
            <w:tcBorders/>
            <w:vAlign w:val="center"/>
          </w:tcPr>
          <w:p>
            <w:pPr>
              <w:pStyle w:val="TableContents"/>
              <w:bidi w:val="0"/>
              <w:spacing w:before="0" w:after="283"/>
              <w:jc w:val="left"/>
              <w:rPr/>
            </w:pPr>
            <w:r>
              <w:rPr/>
              <w:t>10</w:t>
            </w:r>
          </w:p>
        </w:tc>
        <w:tc>
          <w:tcPr>
            <w:tcW w:w="766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536" w:type="dxa"/>
            <w:tcBorders/>
            <w:vAlign w:val="center"/>
          </w:tcPr>
          <w:p>
            <w:pPr>
              <w:pStyle w:val="TableContents"/>
              <w:bidi w:val="0"/>
              <w:spacing w:before="0" w:after="283"/>
              <w:jc w:val="left"/>
              <w:rPr/>
            </w:pPr>
            <w:r>
              <w:rPr/>
              <w:t>11</w:t>
            </w:r>
          </w:p>
        </w:tc>
        <w:tc>
          <w:tcPr>
            <w:tcW w:w="766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536" w:type="dxa"/>
            <w:tcBorders/>
            <w:vAlign w:val="center"/>
          </w:tcPr>
          <w:p>
            <w:pPr>
              <w:pStyle w:val="TableContents"/>
              <w:bidi w:val="0"/>
              <w:spacing w:before="0" w:after="283"/>
              <w:jc w:val="left"/>
              <w:rPr/>
            </w:pPr>
            <w:r>
              <w:rPr/>
              <w:t>12</w:t>
            </w:r>
          </w:p>
        </w:tc>
        <w:tc>
          <w:tcPr>
            <w:tcW w:w="76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Items 5, 7, and 9: Consists of 7,001,638,477 of ordinary shares, par value $0.000000005 per share, represented by American Depositary Shares. Each American Depositary Share represents 80,000 ordinary shares. Such shares may be issued to the Reporting Person pursuant to an equity line Common Stock Purchase Agreement between the parties pursuant to the determination of the Issuer. With regard to Item 11: Percentage calculated based on 140,032,769,533 ordinary shares outstanding as of June 30, 2026 as reported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05"/>
        <w:gridCol w:w="9045"/>
        <w:gridCol w:w="155"/>
      </w:tblGrid>
      <w:tr>
        <w:trPr/>
        <w:tc>
          <w:tcPr>
            <w:tcW w:w="1005" w:type="dxa"/>
            <w:tcBorders/>
            <w:vAlign w:val="center"/>
          </w:tcPr>
          <w:p>
            <w:pPr>
              <w:pStyle w:val="TableContents"/>
              <w:bidi w:val="0"/>
              <w:spacing w:before="0" w:after="283"/>
              <w:jc w:val="left"/>
              <w:rPr/>
            </w:pPr>
            <w:r>
              <w:rPr/>
              <w:t>Item 1.</w:t>
            </w:r>
          </w:p>
        </w:tc>
        <w:tc>
          <w:tcPr>
            <w:tcW w:w="90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jc w:val="left"/>
              <w:rPr/>
            </w:pPr>
            <w:r>
              <w:rPr/>
              <w:t xml:space="preserve">Name of issuer: </w:t>
            </w:r>
          </w:p>
          <w:p>
            <w:pPr>
              <w:pStyle w:val="TableContents"/>
              <w:bidi w:val="0"/>
              <w:spacing w:before="0" w:after="0"/>
              <w:jc w:val="left"/>
              <w:rPr/>
            </w:pPr>
            <w:r>
              <w:rPr/>
              <w:t>Akari Therapeutics Plc</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EAST JACKSON STREET, SUITE 3300, TAMPA, FLORIDA, 33602.</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2.</w:t>
            </w:r>
          </w:p>
        </w:tc>
        <w:tc>
          <w:tcPr>
            <w:tcW w:w="90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White Lion Capital LLC</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17631 Ventura Blvd., Suite 1008 Encino, California 91316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jc w:val="left"/>
              <w:rPr/>
            </w:pPr>
            <w:r>
              <w:rPr/>
              <w:t xml:space="preserve">Citizenship: </w:t>
            </w:r>
          </w:p>
          <w:p>
            <w:pPr>
              <w:pStyle w:val="TableContents"/>
              <w:bidi w:val="0"/>
              <w:spacing w:before="0" w:after="0"/>
              <w:jc w:val="left"/>
              <w:rPr/>
            </w:pPr>
            <w:r>
              <w:rPr/>
              <w:t>Nevada</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(d)</w:t>
            </w:r>
          </w:p>
        </w:tc>
        <w:tc>
          <w:tcPr>
            <w:tcW w:w="90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$0.000000005 per share, (represented by American Depositary Shares)</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(e)</w:t>
            </w:r>
          </w:p>
        </w:tc>
        <w:tc>
          <w:tcPr>
            <w:tcW w:w="90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3.</w:t>
            </w:r>
          </w:p>
        </w:tc>
        <w:tc>
          <w:tcPr>
            <w:tcW w:w="90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(d)</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(e)</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(f)</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(g)</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(h)</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(j)</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(k)</w:t>
            </w:r>
          </w:p>
        </w:tc>
        <w:tc>
          <w:tcPr>
            <w:tcW w:w="90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200" w:type="dxa"/>
            <w:gridSpan w:val="2"/>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4.</w:t>
            </w:r>
          </w:p>
        </w:tc>
        <w:tc>
          <w:tcPr>
            <w:tcW w:w="90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rows 5 through and including row 11 on the cover page of this Schedule 13G, including the footnote thereto, is incorporated by reference in this Item 4.</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rows 5 through and including row 11 on the cover page of this Schedule 13G, including the footnote thereto, is incorporated by reference in this Item 4.  %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in rows 5 through and including row 11 on the cover page of this Schedule 13G, including the footnote thereto, is incorporated by reference in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rows 5 through and including row 11 on the cover page of this Schedule 13G, including the footnote thereto, is incorporated by reference in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in rows 5 through and including row 11 on the cover page of this Schedule 13G, including the footnote thereto, is incorporated by reference in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in rows 5 through and including row 11 on the cover page of this Schedule 13G, including the footnote thereto, is incorporated by reference in this Item 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5.</w:t>
            </w:r>
          </w:p>
        </w:tc>
        <w:tc>
          <w:tcPr>
            <w:tcW w:w="90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6.</w:t>
            </w:r>
          </w:p>
        </w:tc>
        <w:tc>
          <w:tcPr>
            <w:tcW w:w="90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7.</w:t>
            </w:r>
          </w:p>
        </w:tc>
        <w:tc>
          <w:tcPr>
            <w:tcW w:w="90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8.</w:t>
            </w:r>
          </w:p>
        </w:tc>
        <w:tc>
          <w:tcPr>
            <w:tcW w:w="90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Item 9.</w:t>
            </w:r>
          </w:p>
        </w:tc>
        <w:tc>
          <w:tcPr>
            <w:tcW w:w="90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White Lion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Nathan Yee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Nathan Yee, Managing Partner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998</Words>
  <Characters>5183</Characters>
  <CharactersWithSpaces>6174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